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1405"/>
      </w:tblGrid>
      <w:tr w:rsidR="00B6466D" w:rsidTr="00B6466D">
        <w:trPr>
          <w:tblCellSpacing w:w="0" w:type="dxa"/>
          <w:jc w:val="center"/>
        </w:trPr>
        <w:tc>
          <w:tcPr>
            <w:tcW w:w="5000" w:type="pct"/>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drawing>
                            <wp:inline distT="0" distB="0" distL="0" distR="0">
                              <wp:extent cx="44450" cy="6350"/>
                              <wp:effectExtent l="0" t="0" r="0" b="0"/>
                              <wp:docPr id="18" name="Picture 18"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sz w:val="20"/>
                      <w:szCs w:val="20"/>
                    </w:rPr>
                  </w:pPr>
                </w:p>
              </w:tc>
            </w:tr>
          </w:tbl>
          <w:p w:rsidR="00B6466D" w:rsidRDefault="00B6466D">
            <w:pPr>
              <w:jc w:val="center"/>
              <w:rPr>
                <w:sz w:val="20"/>
                <w:szCs w:val="20"/>
              </w:rPr>
            </w:pPr>
          </w:p>
        </w:tc>
      </w:tr>
    </w:tbl>
    <w:p w:rsidR="00B6466D" w:rsidRDefault="00B6466D" w:rsidP="00B6466D">
      <w:pPr>
        <w:jc w:val="center"/>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9030"/>
      </w:tblGrid>
      <w:tr w:rsidR="00B6466D" w:rsidTr="00B6466D">
        <w:trPr>
          <w:tblCellSpacing w:w="0" w:type="dxa"/>
          <w:jc w:val="center"/>
        </w:trPr>
        <w:tc>
          <w:tcPr>
            <w:tcW w:w="0" w:type="auto"/>
            <w:shd w:val="clear" w:color="auto" w:fill="29518E"/>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0" w:type="auto"/>
                              <w:hideMark/>
                            </w:tcPr>
                            <w:p w:rsidR="00B6466D" w:rsidRDefault="00B6466D">
                              <w:pPr>
                                <w:jc w:val="center"/>
                                <w:rPr>
                                  <w:color w:val="000000"/>
                                  <w:sz w:val="22"/>
                                  <w:szCs w:val="22"/>
                                </w:rPr>
                              </w:pPr>
                              <w:r>
                                <w:rPr>
                                  <w:noProof/>
                                  <w:color w:val="0000FF"/>
                                  <w:sz w:val="22"/>
                                  <w:szCs w:val="22"/>
                                </w:rPr>
                                <w:drawing>
                                  <wp:inline distT="0" distB="0" distL="0" distR="0">
                                    <wp:extent cx="5715000" cy="933450"/>
                                    <wp:effectExtent l="0" t="0" r="0" b="0"/>
                                    <wp:docPr id="17" name="Picture 17" descr="http://ih.constantcontact.com/fs122/1111234994262/img/50.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122/1111234994262/img/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933450"/>
                                            </a:xfrm>
                                            <a:prstGeom prst="rect">
                                              <a:avLst/>
                                            </a:prstGeom>
                                            <a:noFill/>
                                            <a:ln>
                                              <a:noFill/>
                                            </a:ln>
                                          </pic:spPr>
                                        </pic:pic>
                                      </a:graphicData>
                                    </a:graphic>
                                  </wp:inline>
                                </w:drawing>
                              </w:r>
                            </w:p>
                          </w:tc>
                        </w:tr>
                      </w:tbl>
                      <w:p w:rsidR="00B6466D" w:rsidRDefault="00B6466D">
                        <w:pPr>
                          <w:jc w:val="center"/>
                          <w:rPr>
                            <w:vanish/>
                          </w:rPr>
                        </w:pPr>
                      </w:p>
                      <w:tbl>
                        <w:tblPr>
                          <w:tblW w:w="5000" w:type="pct"/>
                          <w:jc w:val="center"/>
                          <w:tblCellSpacing w:w="0" w:type="dxa"/>
                          <w:shd w:val="clear" w:color="auto" w:fill="9CB4D8"/>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0" w:type="auto"/>
                              <w:shd w:val="clear" w:color="auto" w:fill="9CB4D8"/>
                              <w:tcMar>
                                <w:top w:w="75" w:type="dxa"/>
                                <w:left w:w="120" w:type="dxa"/>
                                <w:bottom w:w="75" w:type="dxa"/>
                                <w:right w:w="120" w:type="dxa"/>
                              </w:tcMar>
                              <w:hideMark/>
                            </w:tcPr>
                            <w:p w:rsidR="00B6466D" w:rsidRDefault="00B6466D">
                              <w:pPr>
                                <w:rPr>
                                  <w:rFonts w:ascii="Tahoma" w:hAnsi="Tahoma" w:cs="Tahoma"/>
                                  <w:color w:val="FFFFFF"/>
                                </w:rPr>
                              </w:pPr>
                              <w:r>
                                <w:rPr>
                                  <w:rStyle w:val="Strong"/>
                                  <w:rFonts w:ascii="Tahoma" w:hAnsi="Tahoma" w:cs="Tahoma"/>
                                  <w:color w:val="FFFFFF"/>
                                </w:rPr>
                                <w:t xml:space="preserve">Summer 2014                                                                    </w:t>
                              </w:r>
                              <w:hyperlink r:id="rId8" w:history="1">
                                <w:r>
                                  <w:rPr>
                                    <w:rStyle w:val="Hyperlink"/>
                                    <w:rFonts w:ascii="Tahoma" w:hAnsi="Tahoma" w:cs="Tahoma"/>
                                  </w:rPr>
                                  <w:t>www.newmoa.org</w:t>
                                </w:r>
                              </w:hyperlink>
                            </w:p>
                          </w:tc>
                        </w:tr>
                      </w:tbl>
                      <w:p w:rsidR="00B6466D" w:rsidRDefault="00B6466D">
                        <w:pPr>
                          <w:jc w:val="cente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5000" w:type="pct"/>
                        <w:tcMar>
                          <w:top w:w="0" w:type="dxa"/>
                          <w:left w:w="180" w:type="dxa"/>
                          <w:bottom w:w="0" w:type="dxa"/>
                          <w:right w:w="180" w:type="dxa"/>
                        </w:tcMar>
                      </w:tcPr>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drawing>
                                  <wp:inline distT="0" distB="0" distL="0" distR="0">
                                    <wp:extent cx="44450" cy="6350"/>
                                    <wp:effectExtent l="0" t="0" r="0" b="0"/>
                                    <wp:docPr id="16" name="Picture 16"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Tahoma" w:hAnsi="Tahoma" w:cs="Tahoma"/>
                                  <w:b/>
                                  <w:bCs/>
                                  <w:color w:val="000000"/>
                                  <w:sz w:val="22"/>
                                  <w:szCs w:val="22"/>
                                </w:rPr>
                              </w:pPr>
                              <w:r>
                                <w:rPr>
                                  <w:rFonts w:ascii="Tahoma" w:hAnsi="Tahoma" w:cs="Tahoma"/>
                                  <w:b/>
                                  <w:bCs/>
                                  <w:color w:val="000000"/>
                                  <w:sz w:val="22"/>
                                  <w:szCs w:val="22"/>
                                </w:rPr>
                                <w:t xml:space="preserve">Welcome to </w:t>
                              </w:r>
                              <w:proofErr w:type="spellStart"/>
                              <w:r>
                                <w:rPr>
                                  <w:rFonts w:ascii="Tahoma" w:hAnsi="Tahoma" w:cs="Tahoma"/>
                                  <w:b/>
                                  <w:bCs/>
                                  <w:color w:val="000000"/>
                                  <w:sz w:val="22"/>
                                  <w:szCs w:val="22"/>
                                </w:rPr>
                                <w:t>news@NEWMOA</w:t>
                              </w:r>
                              <w:proofErr w:type="spellEnd"/>
                            </w:p>
                            <w:p w:rsidR="00B6466D" w:rsidRDefault="00B6466D">
                              <w:pPr>
                                <w:pStyle w:val="NormalWeb"/>
                                <w:spacing w:before="0" w:beforeAutospacing="0" w:after="0" w:afterAutospacing="0"/>
                                <w:rPr>
                                  <w:rFonts w:ascii="Georgia" w:hAnsi="Georgia"/>
                                  <w:color w:val="000000"/>
                                  <w:sz w:val="18"/>
                                  <w:szCs w:val="18"/>
                                </w:rPr>
                              </w:pPr>
                              <w:proofErr w:type="spellStart"/>
                              <w:r>
                                <w:rPr>
                                  <w:rFonts w:ascii="Georgia" w:hAnsi="Georgia"/>
                                  <w:color w:val="000000"/>
                                  <w:sz w:val="18"/>
                                  <w:szCs w:val="18"/>
                                </w:rPr>
                                <w:t>news@NEWMOA</w:t>
                              </w:r>
                              <w:proofErr w:type="spellEnd"/>
                              <w:r>
                                <w:rPr>
                                  <w:rFonts w:ascii="Georgia" w:hAnsi="Georgia"/>
                                  <w:color w:val="000000"/>
                                  <w:sz w:val="18"/>
                                  <w:szCs w:val="18"/>
                                </w:rPr>
                                <w:t xml:space="preserve"> is designed to help our members and colleagues keep informed about the Association's projects and activities. You are receiving this e-newsletter because you are a member of a NEWMOA working group, committee, program, or listserv; an invitee to NEWMOA events; a colleague at EPA or a related organization; connected to the Association in some other way; or have expressed interest in our work. If you have questions about the e-Newsletter, contact </w:t>
                              </w:r>
                              <w:hyperlink r:id="rId9" w:tgtFrame="_blank" w:history="1">
                                <w:r>
                                  <w:rPr>
                                    <w:rStyle w:val="Hyperlink"/>
                                    <w:rFonts w:ascii="Georgia" w:hAnsi="Georgia"/>
                                    <w:sz w:val="18"/>
                                    <w:szCs w:val="18"/>
                                  </w:rPr>
                                  <w:t xml:space="preserve">Lois </w:t>
                                </w:r>
                                <w:proofErr w:type="spellStart"/>
                                <w:r>
                                  <w:rPr>
                                    <w:rStyle w:val="Hyperlink"/>
                                    <w:rFonts w:ascii="Georgia" w:hAnsi="Georgia"/>
                                    <w:sz w:val="18"/>
                                    <w:szCs w:val="18"/>
                                  </w:rPr>
                                  <w:t>Makina</w:t>
                                </w:r>
                                <w:proofErr w:type="spellEnd"/>
                              </w:hyperlink>
                              <w:r>
                                <w:rPr>
                                  <w:rFonts w:ascii="Georgia" w:hAnsi="Georgia"/>
                                  <w:color w:val="000000"/>
                                  <w:sz w:val="18"/>
                                  <w:szCs w:val="18"/>
                                </w:rPr>
                                <w:t xml:space="preserve">, (617) 367-8558 x312.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Style w:val="Strong"/>
                                  <w:rFonts w:ascii="Georgia" w:hAnsi="Georgia"/>
                                  <w:color w:val="000000"/>
                                  <w:sz w:val="18"/>
                                  <w:szCs w:val="18"/>
                                </w:rPr>
                                <w:t xml:space="preserve">Share this newsletter with others in your agency or organization that might be interested. </w:t>
                              </w:r>
                              <w:hyperlink r:id="rId10" w:tgtFrame="_blank" w:history="1">
                                <w:r>
                                  <w:rPr>
                                    <w:rStyle w:val="Hyperlink"/>
                                    <w:rFonts w:ascii="Georgia" w:hAnsi="Georgia"/>
                                    <w:b/>
                                    <w:bCs/>
                                    <w:sz w:val="18"/>
                                    <w:szCs w:val="18"/>
                                  </w:rPr>
                                  <w:t>We welcome your comments and suggestions</w:t>
                                </w:r>
                              </w:hyperlink>
                              <w:r>
                                <w:rPr>
                                  <w:rStyle w:val="Strong"/>
                                  <w:rFonts w:ascii="Georgia" w:hAnsi="Georgia"/>
                                  <w:color w:val="000000"/>
                                  <w:sz w:val="18"/>
                                  <w:szCs w:val="18"/>
                                </w:rPr>
                                <w:t>. </w:t>
                              </w:r>
                            </w:p>
                          </w:tc>
                        </w:tr>
                      </w:tbl>
                      <w:p w:rsidR="00B6466D" w:rsidRDefault="00B6466D">
                        <w:pPr>
                          <w:jc w:val="cente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6150"/>
                    <w:gridCol w:w="2850"/>
                  </w:tblGrid>
                  <w:tr w:rsidR="00B6466D">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150"/>
                        </w:tblGrid>
                        <w:tr w:rsidR="00B6466D">
                          <w:trPr>
                            <w:tblCellSpacing w:w="0" w:type="dxa"/>
                            <w:jc w:val="center"/>
                          </w:trPr>
                          <w:tc>
                            <w:tcPr>
                              <w:tcW w:w="5000" w:type="pct"/>
                              <w:tcMar>
                                <w:top w:w="0" w:type="dxa"/>
                                <w:left w:w="180" w:type="dxa"/>
                                <w:bottom w:w="0" w:type="dxa"/>
                                <w:right w:w="180" w:type="dxa"/>
                              </w:tcMar>
                            </w:tcPr>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rHeight w:val="15"/>
                                  <w:tblCellSpacing w:w="0" w:type="dxa"/>
                                  <w:jc w:val="center"/>
                                </w:trPr>
                                <w:tc>
                                  <w:tcPr>
                                    <w:tcW w:w="0" w:type="auto"/>
                                    <w:tcMar>
                                      <w:top w:w="75" w:type="dxa"/>
                                      <w:left w:w="120" w:type="dxa"/>
                                      <w:bottom w:w="75"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550"/>
                                    </w:tblGrid>
                                    <w:tr w:rsidR="00B6466D">
                                      <w:trPr>
                                        <w:trHeight w:val="15"/>
                                        <w:tblCellSpacing w:w="0" w:type="dxa"/>
                                      </w:trPr>
                                      <w:tc>
                                        <w:tcPr>
                                          <w:tcW w:w="0" w:type="auto"/>
                                          <w:shd w:val="clear" w:color="auto" w:fill="29518E"/>
                                          <w:tcMar>
                                            <w:top w:w="0" w:type="dxa"/>
                                            <w:left w:w="0" w:type="dxa"/>
                                            <w:bottom w:w="15" w:type="dxa"/>
                                            <w:right w:w="0" w:type="dxa"/>
                                          </w:tcMar>
                                          <w:hideMark/>
                                        </w:tcPr>
                                        <w:p w:rsidR="00B6466D" w:rsidRDefault="00B6466D">
                                          <w:pPr>
                                            <w:spacing w:line="15" w:lineRule="atLeast"/>
                                            <w:jc w:val="center"/>
                                          </w:pPr>
                                          <w:r>
                                            <w:rPr>
                                              <w:noProof/>
                                            </w:rPr>
                                            <w:drawing>
                                              <wp:inline distT="0" distB="0" distL="0" distR="0">
                                                <wp:extent cx="44450" cy="6350"/>
                                                <wp:effectExtent l="0" t="0" r="0" b="0"/>
                                                <wp:docPr id="15" name="Picture 15"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rPr>
                                        <w:sz w:val="20"/>
                                        <w:szCs w:val="20"/>
                                      </w:rPr>
                                    </w:pPr>
                                  </w:p>
                                </w:tc>
                              </w:tr>
                            </w:tbl>
                            <w:p w:rsidR="00B6466D" w:rsidRDefault="00B6466D">
                              <w:pPr>
                                <w:jc w:val="center"/>
                                <w:rPr>
                                  <w:vanish/>
                                </w:rPr>
                              </w:pPr>
                              <w:bookmarkStart w:id="0" w:name="LETTER.BLOCK14"/>
                              <w:bookmarkEnd w:id="0"/>
                            </w:p>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Tahoma" w:hAnsi="Tahoma" w:cs="Tahoma"/>
                                        <w:color w:val="000000"/>
                                        <w:sz w:val="22"/>
                                        <w:szCs w:val="22"/>
                                      </w:rPr>
                                    </w:pPr>
                                    <w:r>
                                      <w:rPr>
                                        <w:rFonts w:ascii="Tahoma" w:hAnsi="Tahoma" w:cs="Tahoma"/>
                                        <w:b/>
                                        <w:bCs/>
                                        <w:color w:val="000000"/>
                                        <w:sz w:val="22"/>
                                        <w:szCs w:val="22"/>
                                      </w:rPr>
                                      <w:t>Board of Directors</w:t>
                                    </w:r>
                                  </w:p>
                                  <w:p w:rsidR="00B6466D" w:rsidRDefault="00B6466D">
                                    <w:pPr>
                                      <w:rPr>
                                        <w:rFonts w:ascii="Georgia" w:hAnsi="Georgia"/>
                                        <w:color w:val="000000"/>
                                        <w:sz w:val="18"/>
                                        <w:szCs w:val="18"/>
                                      </w:rPr>
                                    </w:pPr>
                                    <w:r>
                                      <w:rPr>
                                        <w:rFonts w:ascii="Georgia" w:hAnsi="Georgia"/>
                                        <w:color w:val="000000"/>
                                        <w:sz w:val="18"/>
                                        <w:szCs w:val="18"/>
                                      </w:rPr>
                                      <w:t xml:space="preserve">NEWMOA's </w:t>
                                    </w:r>
                                    <w:hyperlink r:id="rId11" w:tgtFrame="_blank" w:history="1">
                                      <w:r>
                                        <w:rPr>
                                          <w:rStyle w:val="Hyperlink"/>
                                          <w:rFonts w:ascii="Georgia" w:hAnsi="Georgia"/>
                                          <w:sz w:val="18"/>
                                          <w:szCs w:val="18"/>
                                        </w:rPr>
                                        <w:t>B</w:t>
                                      </w:r>
                                      <w:r>
                                        <w:rPr>
                                          <w:rStyle w:val="Hyperlink"/>
                                          <w:rFonts w:ascii="Georgia" w:hAnsi="Georgia"/>
                                          <w:sz w:val="18"/>
                                          <w:szCs w:val="18"/>
                                        </w:rPr>
                                        <w:t>o</w:t>
                                      </w:r>
                                      <w:r>
                                        <w:rPr>
                                          <w:rStyle w:val="Hyperlink"/>
                                          <w:rFonts w:ascii="Georgia" w:hAnsi="Georgia"/>
                                          <w:sz w:val="18"/>
                                          <w:szCs w:val="18"/>
                                        </w:rPr>
                                        <w:t>ard</w:t>
                                      </w:r>
                                    </w:hyperlink>
                                    <w:r>
                                      <w:rPr>
                                        <w:rFonts w:ascii="Georgia" w:hAnsi="Georgia"/>
                                        <w:color w:val="000000"/>
                                        <w:sz w:val="18"/>
                                        <w:szCs w:val="18"/>
                                      </w:rPr>
                                      <w:t xml:space="preserve"> met in June 2014 in Plymouth, New Hampshire to review the Association's current projects and share updates from EPA and state programs. This </w:t>
                                    </w:r>
                                    <w:proofErr w:type="spellStart"/>
                                    <w:r>
                                      <w:rPr>
                                        <w:rFonts w:ascii="Georgia" w:hAnsi="Georgia"/>
                                        <w:color w:val="000000"/>
                                        <w:sz w:val="18"/>
                                        <w:szCs w:val="18"/>
                                      </w:rPr>
                                      <w:t>news@NEWMOA</w:t>
                                    </w:r>
                                    <w:proofErr w:type="spellEnd"/>
                                    <w:r>
                                      <w:rPr>
                                        <w:rFonts w:ascii="Georgia" w:hAnsi="Georgia"/>
                                        <w:color w:val="000000"/>
                                        <w:sz w:val="18"/>
                                        <w:szCs w:val="18"/>
                                      </w:rPr>
                                      <w:t xml:space="preserve"> highlights many of the Board's priorities and initiatives. During the meeting, the Board approved a draft Strategic Plan for the Interstate Mercury Education and Reduction Clearinghouse (IMERC), and discussed the status of various hazardous waste federal rulemakings, upcoming waste site cleanup workshops and webinars, proposals for pollution prevention and sustainability activities, and ongoing solid waste projects.  </w:t>
                                    </w:r>
                                  </w:p>
                                </w:tc>
                              </w:tr>
                            </w:tbl>
                            <w:p w:rsidR="00B6466D" w:rsidRDefault="00B6466D">
                              <w:pPr>
                                <w:jc w:val="center"/>
                                <w:rPr>
                                  <w:vanish/>
                                </w:rPr>
                              </w:pPr>
                              <w:bookmarkStart w:id="1" w:name="LETTER.BLOCK159"/>
                              <w:bookmarkEnd w:id="1"/>
                            </w:p>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Tahoma" w:hAnsi="Tahoma" w:cs="Tahoma"/>
                                        <w:color w:val="000000"/>
                                        <w:sz w:val="22"/>
                                        <w:szCs w:val="22"/>
                                      </w:rPr>
                                    </w:pPr>
                                    <w:r>
                                      <w:rPr>
                                        <w:noProof/>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333500" cy="1847850"/>
                                          <wp:effectExtent l="0" t="0" r="0" b="0"/>
                                          <wp:wrapSquare wrapText="bothSides"/>
                                          <wp:docPr id="22" name="Picture 22" descr="http://ih.constantcontact.com/fs122/1111234994262/img/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122/1111234994262/img/75.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333500" cy="18478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Tahoma" w:hAnsi="Tahoma" w:cs="Tahoma"/>
                                        <w:color w:val="000000"/>
                                        <w:sz w:val="22"/>
                                        <w:szCs w:val="22"/>
                                      </w:rPr>
                                      <w:t xml:space="preserve">2013 Annual Report </w:t>
                                    </w:r>
                                  </w:p>
                                  <w:p w:rsidR="00B6466D" w:rsidRDefault="00B6466D">
                                    <w:pPr>
                                      <w:rPr>
                                        <w:rFonts w:ascii="Georgia" w:hAnsi="Georgia"/>
                                        <w:color w:val="000000"/>
                                        <w:sz w:val="18"/>
                                        <w:szCs w:val="18"/>
                                      </w:rPr>
                                    </w:pPr>
                                    <w:r>
                                      <w:rPr>
                                        <w:rFonts w:ascii="Georgia" w:hAnsi="Georgia"/>
                                        <w:color w:val="000000"/>
                                        <w:sz w:val="18"/>
                                        <w:szCs w:val="18"/>
                                      </w:rPr>
                                      <w:t xml:space="preserve">NEWMOA published its 2013 Annual Report in April under the theme "Honoring Our Legacy, On the Shoulders of Great Leaders." The Report was dedicated to the memory of two exceptional public servants - Ira Leighton, U.S. EPA Region 1 and Jeff </w:t>
                                    </w:r>
                                    <w:proofErr w:type="spellStart"/>
                                    <w:r>
                                      <w:rPr>
                                        <w:rFonts w:ascii="Georgia" w:hAnsi="Georgia"/>
                                        <w:color w:val="000000"/>
                                        <w:sz w:val="18"/>
                                        <w:szCs w:val="18"/>
                                      </w:rPr>
                                      <w:t>Sama</w:t>
                                    </w:r>
                                    <w:proofErr w:type="spellEnd"/>
                                    <w:r>
                                      <w:rPr>
                                        <w:rFonts w:ascii="Georgia" w:hAnsi="Georgia"/>
                                        <w:color w:val="000000"/>
                                        <w:sz w:val="18"/>
                                        <w:szCs w:val="18"/>
                                      </w:rPr>
                                      <w:t>, New York State Department of Environmental Conservation. Both men made important contributions to protecting and improving the environment in the Northeast and were dedicated to advancing NEWMOA and its mission over many years.</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The Report also covers the Association's 2013 contributions toward sustainability and pollution prevention, solid waste and sustainable materials management, hazardous waste management, waste site cleanup, and toxics reduction. Some of the highlights included: </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Workshops on "Sustainable Remediation" and "Cleanup of Waste Sites with Polychlorinated Biphenyl (PCB) Contamination" </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t>Training for hazardous waste program staff through monthly information-sharing conference calls and a training workshop</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t>National meeting on Compliance Strategies and Performance Measurement</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t>An online tool, Chemical Hazard Assessment Database (CHAD) to promote awareness of assessments conducted on chemicals of concern</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t>A Pharmaceutical Waste Workgroup to help address environmental concerns about pharmaceuticals in the environment</w:t>
                                    </w:r>
                                  </w:p>
                                  <w:p w:rsidR="00B6466D" w:rsidRDefault="00B6466D">
                                    <w:pPr>
                                      <w:numPr>
                                        <w:ilvl w:val="0"/>
                                        <w:numId w:val="1"/>
                                      </w:numPr>
                                      <w:spacing w:before="100" w:beforeAutospacing="1" w:after="100" w:afterAutospacing="1"/>
                                      <w:rPr>
                                        <w:rFonts w:ascii="Georgia" w:hAnsi="Georgia"/>
                                        <w:color w:val="000000"/>
                                        <w:sz w:val="18"/>
                                        <w:szCs w:val="18"/>
                                      </w:rPr>
                                    </w:pPr>
                                    <w:r>
                                      <w:rPr>
                                        <w:rFonts w:ascii="Georgia" w:hAnsi="Georgia"/>
                                        <w:color w:val="000000"/>
                                        <w:sz w:val="18"/>
                                        <w:szCs w:val="18"/>
                                      </w:rPr>
                                      <w:lastRenderedPageBreak/>
                                      <w:t>A grocery sustainability initiative</w:t>
                                    </w:r>
                                  </w:p>
                                </w:tc>
                              </w:tr>
                            </w:tbl>
                            <w:p w:rsidR="00B6466D" w:rsidRDefault="00B6466D">
                              <w:pPr>
                                <w:jc w:val="center"/>
                                <w:rPr>
                                  <w:vanish/>
                                </w:rPr>
                              </w:pPr>
                              <w:bookmarkStart w:id="2" w:name="LETTER.BLOCK176"/>
                              <w:bookmarkEnd w:id="2"/>
                            </w:p>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Tahoma" w:hAnsi="Tahoma" w:cs="Tahoma"/>
                                        <w:color w:val="000000"/>
                                        <w:sz w:val="22"/>
                                        <w:szCs w:val="22"/>
                                      </w:rPr>
                                    </w:pPr>
                                    <w:r>
                                      <w:rPr>
                                        <w:noProof/>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428750" cy="1771650"/>
                                          <wp:effectExtent l="0" t="0" r="0" b="0"/>
                                          <wp:wrapSquare wrapText="bothSides"/>
                                          <wp:docPr id="21" name="Picture 21" descr="http://ih.constantcontact.com/fs122/1111234994262/img/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h.constantcontact.com/fs122/1111234994262/img/74.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428750" cy="17716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color w:val="000000"/>
                                        <w:sz w:val="22"/>
                                        <w:szCs w:val="22"/>
                                      </w:rPr>
                                      <w:t>Ira Leighton in Service to States Award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On April 22, 2014, Ken </w:t>
                                    </w:r>
                                    <w:proofErr w:type="spellStart"/>
                                    <w:r>
                                      <w:rPr>
                                        <w:rFonts w:ascii="Georgia" w:hAnsi="Georgia"/>
                                        <w:color w:val="000000"/>
                                        <w:sz w:val="18"/>
                                        <w:szCs w:val="18"/>
                                      </w:rPr>
                                      <w:t>Kimmell</w:t>
                                    </w:r>
                                    <w:proofErr w:type="spellEnd"/>
                                    <w:r>
                                      <w:rPr>
                                        <w:rFonts w:ascii="Georgia" w:hAnsi="Georgia"/>
                                        <w:color w:val="000000"/>
                                        <w:sz w:val="18"/>
                                        <w:szCs w:val="18"/>
                                      </w:rPr>
                                      <w:t xml:space="preserve"> was awarded the first Ira Leighton in Service to States Award at a ceremony at Faneuil Hall in Boston.</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NEWMOA collaborated with the New England Interstate Water Pollution Control Commission (</w:t>
                                    </w:r>
                                    <w:hyperlink r:id="rId14" w:tgtFrame="_blank" w:history="1">
                                      <w:r>
                                        <w:rPr>
                                          <w:rStyle w:val="Hyperlink"/>
                                          <w:rFonts w:ascii="Georgia" w:hAnsi="Georgia"/>
                                          <w:sz w:val="18"/>
                                          <w:szCs w:val="18"/>
                                        </w:rPr>
                                        <w:t>NEIWPCC</w:t>
                                      </w:r>
                                    </w:hyperlink>
                                    <w:r>
                                      <w:rPr>
                                        <w:rFonts w:ascii="Georgia" w:hAnsi="Georgia"/>
                                        <w:color w:val="000000"/>
                                        <w:sz w:val="18"/>
                                        <w:szCs w:val="18"/>
                                      </w:rPr>
                                      <w:t>), the Northeast States for Coordinated Air Use Management (</w:t>
                                    </w:r>
                                    <w:hyperlink r:id="rId15" w:tgtFrame="_blank" w:history="1">
                                      <w:r>
                                        <w:rPr>
                                          <w:rStyle w:val="Hyperlink"/>
                                          <w:rFonts w:ascii="Georgia" w:hAnsi="Georgia"/>
                                          <w:sz w:val="18"/>
                                          <w:szCs w:val="18"/>
                                        </w:rPr>
                                        <w:t>NESCAUM</w:t>
                                      </w:r>
                                    </w:hyperlink>
                                    <w:r>
                                      <w:rPr>
                                        <w:rFonts w:ascii="Georgia" w:hAnsi="Georgia"/>
                                        <w:color w:val="000000"/>
                                        <w:sz w:val="18"/>
                                        <w:szCs w:val="18"/>
                                      </w:rPr>
                                      <w:t xml:space="preserve">), the New England state Environmental Commissioners, and the U.S. EPA Region 1 to initiate the Ira Leighton "In Service to States" </w:t>
                                    </w:r>
                                    <w:hyperlink r:id="rId16" w:tgtFrame="_blank" w:history="1">
                                      <w:r>
                                        <w:rPr>
                                          <w:rStyle w:val="Hyperlink"/>
                                          <w:rFonts w:ascii="Georgia" w:hAnsi="Georgia"/>
                                          <w:sz w:val="18"/>
                                          <w:szCs w:val="18"/>
                                        </w:rPr>
                                        <w:t>Environmental Merit Award</w:t>
                                      </w:r>
                                    </w:hyperlink>
                                    <w:r>
                                      <w:rPr>
                                        <w:rFonts w:ascii="Georgia" w:hAnsi="Georgia"/>
                                        <w:color w:val="000000"/>
                                        <w:sz w:val="18"/>
                                        <w:szCs w:val="18"/>
                                      </w:rPr>
                                      <w:t>. </w:t>
                                    </w:r>
                                  </w:p>
                                  <w:p w:rsidR="00B6466D" w:rsidRDefault="00B6466D">
                                    <w:pPr>
                                      <w:rPr>
                                        <w:rFonts w:ascii="Georgia" w:hAnsi="Georgia"/>
                                        <w:color w:val="000000"/>
                                        <w:sz w:val="18"/>
                                        <w:szCs w:val="18"/>
                                      </w:rPr>
                                    </w:pPr>
                                    <w:r>
                                      <w:rPr>
                                        <w:rFonts w:ascii="Georgia" w:hAnsi="Georgia"/>
                                        <w:color w:val="000000"/>
                                        <w:sz w:val="18"/>
                                        <w:szCs w:val="18"/>
                                      </w:rPr>
                                      <w:br/>
                                      <w:t>The Award is a tribute to our long-time colleague and friend who passed away in 2013 after serving 41 years at the U.S. EPA. The Award recognizes an individual or organization that has made significant strides in facilitating state and federal partnerships through innovative sustainable solutions addressing critical environmental challenges in New England.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Ken has a distinguished career actively demonstrating leadership in protecting the environment and in promoting sustainable practices. During his tenure at </w:t>
                                    </w:r>
                                    <w:proofErr w:type="spellStart"/>
                                    <w:r>
                                      <w:rPr>
                                        <w:rFonts w:ascii="Georgia" w:hAnsi="Georgia"/>
                                        <w:color w:val="000000"/>
                                        <w:sz w:val="18"/>
                                        <w:szCs w:val="18"/>
                                      </w:rPr>
                                      <w:t>MassDEP</w:t>
                                    </w:r>
                                    <w:proofErr w:type="spellEnd"/>
                                    <w:r>
                                      <w:rPr>
                                        <w:rFonts w:ascii="Georgia" w:hAnsi="Georgia"/>
                                        <w:color w:val="000000"/>
                                        <w:sz w:val="18"/>
                                        <w:szCs w:val="18"/>
                                      </w:rPr>
                                      <w:t xml:space="preserve"> from January 2011 through March 2014, and his earlier tenure as General Counsel at the Massachusetts Executive Office of Environmental Affairs from 2007 through 2011, he demonstrated a stellar record proactively addressing climate change, promoting innovation, and advancing clean energy technology at the state, regional, and local levels. Ken's efforts and accomplishments include work on air quality and greenhouse gases, compliance/enforcement, access to quality data, as well as work on solid waste, recycling, organics, and water management. Ken was a leader in the planning and implementation of the Energy and Environmental Information and Public Access System (EIPAS). He made significant strides in improving the management of solid waste in Massachusetts culminating in the issuance of the updated Solid Waste Master Plan in 2013. In New Bedford, MA Ken championed an approach to state involvement in the New Bedford Harbor Superfund Site that led to multiple environmental and economic benefits. On Cape Cod, Ken worked on innovative approaches to assuring compliance at commercial and industrial facilities. We congratulate Ken on this well-deserved award! </w:t>
                                    </w:r>
                                  </w:p>
                                </w:tc>
                              </w:tr>
                            </w:tbl>
                            <w:p w:rsidR="00B6466D" w:rsidRDefault="00B6466D">
                              <w:pPr>
                                <w:jc w:val="center"/>
                                <w:rPr>
                                  <w:vanish/>
                                </w:rPr>
                              </w:pPr>
                              <w:bookmarkStart w:id="3" w:name="LETTER.BLOCK46"/>
                              <w:bookmarkEnd w:id="3"/>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Hazardous Waste Program</w:t>
                                    </w:r>
                                  </w:p>
                                </w:tc>
                              </w:tr>
                            </w:tbl>
                            <w:p w:rsidR="00B6466D" w:rsidRDefault="00B6466D">
                              <w:pPr>
                                <w:jc w:val="center"/>
                                <w:rPr>
                                  <w:vanish/>
                                </w:rPr>
                              </w:pPr>
                              <w:bookmarkStart w:id="4" w:name="LETTER.BLOCK84"/>
                              <w:bookmarkEnd w:id="4"/>
                            </w:p>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Georgia" w:hAnsi="Georgia"/>
                                        <w:color w:val="29518E"/>
                                        <w:sz w:val="18"/>
                                        <w:szCs w:val="18"/>
                                      </w:rPr>
                                    </w:pPr>
                                    <w:r>
                                      <w:rPr>
                                        <w:rStyle w:val="Strong"/>
                                        <w:rFonts w:ascii="Georgia" w:hAnsi="Georgia"/>
                                        <w:color w:val="29518E"/>
                                        <w:sz w:val="18"/>
                                        <w:szCs w:val="18"/>
                                      </w:rPr>
                                      <w:t>Training</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Over the past few months, NEWMOA's Hazardous Waste Training Committee has held regular conference calls on such topics as: </w:t>
                                    </w:r>
                                  </w:p>
                                  <w:p w:rsidR="00B6466D" w:rsidRDefault="00B6466D">
                                    <w:pPr>
                                      <w:numPr>
                                        <w:ilvl w:val="0"/>
                                        <w:numId w:val="2"/>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Permanent household hazardous waste facilities </w:t>
                                    </w:r>
                                  </w:p>
                                  <w:p w:rsidR="00B6466D" w:rsidRDefault="00B6466D">
                                    <w:pPr>
                                      <w:numPr>
                                        <w:ilvl w:val="0"/>
                                        <w:numId w:val="2"/>
                                      </w:numPr>
                                      <w:spacing w:before="100" w:beforeAutospacing="1" w:after="100" w:afterAutospacing="1"/>
                                      <w:rPr>
                                        <w:rFonts w:ascii="Georgia" w:hAnsi="Georgia"/>
                                        <w:color w:val="000000"/>
                                        <w:sz w:val="18"/>
                                        <w:szCs w:val="18"/>
                                      </w:rPr>
                                    </w:pPr>
                                    <w:r>
                                      <w:rPr>
                                        <w:rFonts w:ascii="Georgia" w:hAnsi="Georgia"/>
                                        <w:color w:val="000000"/>
                                        <w:sz w:val="18"/>
                                        <w:szCs w:val="18"/>
                                      </w:rPr>
                                      <w:t>Pharmaceutical waste management</w:t>
                                    </w:r>
                                  </w:p>
                                  <w:p w:rsidR="00B6466D" w:rsidRDefault="00B6466D">
                                    <w:pPr>
                                      <w:numPr>
                                        <w:ilvl w:val="0"/>
                                        <w:numId w:val="2"/>
                                      </w:numPr>
                                      <w:spacing w:before="100" w:beforeAutospacing="1" w:after="100" w:afterAutospacing="1"/>
                                      <w:rPr>
                                        <w:rFonts w:ascii="Georgia" w:hAnsi="Georgia"/>
                                        <w:color w:val="000000"/>
                                        <w:sz w:val="18"/>
                                        <w:szCs w:val="18"/>
                                      </w:rPr>
                                    </w:pPr>
                                    <w:r>
                                      <w:rPr>
                                        <w:rFonts w:ascii="Georgia" w:hAnsi="Georgia"/>
                                        <w:color w:val="000000"/>
                                        <w:sz w:val="18"/>
                                        <w:szCs w:val="18"/>
                                      </w:rPr>
                                      <w:t>EPA's cathode ray tube (CRT) export rule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Upcoming calls focus on: </w:t>
                                    </w:r>
                                  </w:p>
                                  <w:p w:rsidR="00B6466D" w:rsidRDefault="00B6466D">
                                    <w:pPr>
                                      <w:numPr>
                                        <w:ilvl w:val="0"/>
                                        <w:numId w:val="3"/>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The five most frequent violations that RCRA inspectors find </w:t>
                                    </w:r>
                                  </w:p>
                                  <w:p w:rsidR="00B6466D" w:rsidRDefault="00B6466D">
                                    <w:pPr>
                                      <w:numPr>
                                        <w:ilvl w:val="0"/>
                                        <w:numId w:val="3"/>
                                      </w:numPr>
                                      <w:spacing w:before="100" w:beforeAutospacing="1" w:after="100" w:afterAutospacing="1"/>
                                      <w:rPr>
                                        <w:rFonts w:ascii="Georgia" w:hAnsi="Georgia"/>
                                        <w:color w:val="000000"/>
                                        <w:sz w:val="18"/>
                                        <w:szCs w:val="18"/>
                                      </w:rPr>
                                    </w:pPr>
                                    <w:r>
                                      <w:rPr>
                                        <w:rFonts w:ascii="Georgia" w:hAnsi="Georgia"/>
                                        <w:color w:val="000000"/>
                                        <w:sz w:val="18"/>
                                        <w:szCs w:val="18"/>
                                      </w:rPr>
                                      <w:t>E-waste hazardous waste regulatory issues</w:t>
                                    </w:r>
                                  </w:p>
                                  <w:p w:rsidR="00B6466D" w:rsidRDefault="00B6466D">
                                    <w:pPr>
                                      <w:numPr>
                                        <w:ilvl w:val="0"/>
                                        <w:numId w:val="3"/>
                                      </w:numPr>
                                      <w:spacing w:before="100" w:beforeAutospacing="1" w:after="100" w:afterAutospacing="1"/>
                                      <w:rPr>
                                        <w:rFonts w:ascii="Georgia" w:hAnsi="Georgia"/>
                                        <w:color w:val="000000"/>
                                        <w:sz w:val="18"/>
                                        <w:szCs w:val="18"/>
                                      </w:rPr>
                                    </w:pPr>
                                    <w:r>
                                      <w:rPr>
                                        <w:rFonts w:ascii="Georgia" w:hAnsi="Georgia"/>
                                        <w:color w:val="000000"/>
                                        <w:sz w:val="18"/>
                                        <w:szCs w:val="18"/>
                                      </w:rPr>
                                      <w:t>Generators that are in foreclosure or bankruptcy or closing for another reason</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lastRenderedPageBreak/>
                                      <w:t xml:space="preserve">These training calls are for state and federal hazardous waste inspectors and other compliance and enforcement staff and regulatory development staff.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NEWMOA held a workshop for state and EPA hazardous waste inspectors on June 10. The presentations focused on:</w:t>
                                    </w:r>
                                  </w:p>
                                  <w:p w:rsidR="00B6466D" w:rsidRDefault="00B6466D">
                                    <w:pPr>
                                      <w:numPr>
                                        <w:ilvl w:val="0"/>
                                        <w:numId w:val="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Compliance and enforcement for small generators </w:t>
                                    </w:r>
                                  </w:p>
                                  <w:p w:rsidR="00B6466D" w:rsidRDefault="00B6466D">
                                    <w:pPr>
                                      <w:numPr>
                                        <w:ilvl w:val="0"/>
                                        <w:numId w:val="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Conducting inspections for compliance with the Organic Air Emissions Rule </w:t>
                                    </w:r>
                                  </w:p>
                                  <w:p w:rsidR="00B6466D" w:rsidRDefault="00B6466D">
                                    <w:pPr>
                                      <w:numPr>
                                        <w:ilvl w:val="0"/>
                                        <w:numId w:val="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Inspecting companies that claim the closed-loop recycling exemption </w:t>
                                    </w:r>
                                  </w:p>
                                  <w:p w:rsidR="00B6466D" w:rsidRDefault="00B6466D">
                                    <w:pPr>
                                      <w:numPr>
                                        <w:ilvl w:val="0"/>
                                        <w:numId w:val="4"/>
                                      </w:numPr>
                                      <w:spacing w:before="100" w:beforeAutospacing="1" w:after="100" w:afterAutospacing="1"/>
                                      <w:rPr>
                                        <w:rFonts w:ascii="Georgia" w:hAnsi="Georgia"/>
                                        <w:color w:val="000000"/>
                                        <w:sz w:val="18"/>
                                        <w:szCs w:val="18"/>
                                      </w:rPr>
                                    </w:pPr>
                                    <w:r>
                                      <w:rPr>
                                        <w:rFonts w:ascii="Georgia" w:hAnsi="Georgia"/>
                                        <w:color w:val="000000"/>
                                        <w:sz w:val="18"/>
                                        <w:szCs w:val="18"/>
                                      </w:rPr>
                                      <w:t>Emerging issues and interesting enforcement cases </w:t>
                                    </w:r>
                                  </w:p>
                                  <w:p w:rsidR="00B6466D" w:rsidRDefault="00B6466D">
                                    <w:pPr>
                                      <w:numPr>
                                        <w:ilvl w:val="0"/>
                                        <w:numId w:val="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Alternatives to </w:t>
                                    </w:r>
                                    <w:proofErr w:type="spellStart"/>
                                    <w:r>
                                      <w:rPr>
                                        <w:rFonts w:ascii="Georgia" w:hAnsi="Georgia"/>
                                        <w:color w:val="000000"/>
                                        <w:sz w:val="18"/>
                                        <w:szCs w:val="18"/>
                                      </w:rPr>
                                      <w:t>Perc</w:t>
                                    </w:r>
                                    <w:proofErr w:type="spellEnd"/>
                                    <w:r>
                                      <w:rPr>
                                        <w:rFonts w:ascii="Georgia" w:hAnsi="Georgia"/>
                                        <w:color w:val="000000"/>
                                        <w:sz w:val="18"/>
                                        <w:szCs w:val="18"/>
                                      </w:rPr>
                                      <w:t xml:space="preserve"> use at dry cleaners</w:t>
                                    </w:r>
                                  </w:p>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t>Letter to EPA on Evaporators</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On behalf of most of its members, NEWMOA sent a </w:t>
                                    </w:r>
                                    <w:hyperlink r:id="rId17" w:tgtFrame="_blank" w:history="1">
                                      <w:r>
                                        <w:rPr>
                                          <w:rStyle w:val="Hyperlink"/>
                                          <w:rFonts w:ascii="Georgia" w:hAnsi="Georgia"/>
                                          <w:sz w:val="18"/>
                                          <w:szCs w:val="18"/>
                                        </w:rPr>
                                        <w:t>letter</w:t>
                                      </w:r>
                                    </w:hyperlink>
                                    <w:r>
                                      <w:rPr>
                                        <w:rFonts w:ascii="Georgia" w:hAnsi="Georgia"/>
                                        <w:color w:val="000000"/>
                                        <w:sz w:val="18"/>
                                        <w:szCs w:val="18"/>
                                      </w:rPr>
                                      <w:t xml:space="preserve"> to EPA Headquarters requesting that the Agency:</w:t>
                                    </w:r>
                                  </w:p>
                                  <w:p w:rsidR="00B6466D" w:rsidRDefault="00B6466D">
                                    <w:pPr>
                                      <w:numPr>
                                        <w:ilvl w:val="0"/>
                                        <w:numId w:val="5"/>
                                      </w:numPr>
                                      <w:spacing w:before="100" w:beforeAutospacing="1" w:after="100" w:afterAutospacing="1"/>
                                      <w:rPr>
                                        <w:rFonts w:ascii="Georgia" w:hAnsi="Georgia"/>
                                        <w:color w:val="000000"/>
                                        <w:sz w:val="18"/>
                                        <w:szCs w:val="18"/>
                                      </w:rPr>
                                    </w:pPr>
                                    <w:r>
                                      <w:rPr>
                                        <w:rFonts w:ascii="Georgia" w:hAnsi="Georgia"/>
                                        <w:color w:val="000000"/>
                                        <w:sz w:val="18"/>
                                        <w:szCs w:val="18"/>
                                      </w:rPr>
                                      <w:t>Revise its position exempting some evaporators (i.e., zero discharge units) under the Resource Conservation and Recovery Act (RCA) wastewater treatment unit exemption</w:t>
                                    </w:r>
                                  </w:p>
                                  <w:p w:rsidR="00B6466D" w:rsidRDefault="00B6466D">
                                    <w:pPr>
                                      <w:numPr>
                                        <w:ilvl w:val="0"/>
                                        <w:numId w:val="5"/>
                                      </w:numPr>
                                      <w:spacing w:before="100" w:beforeAutospacing="1" w:after="100" w:afterAutospacing="1"/>
                                      <w:rPr>
                                        <w:rFonts w:ascii="Georgia" w:hAnsi="Georgia"/>
                                        <w:color w:val="000000"/>
                                        <w:sz w:val="18"/>
                                        <w:szCs w:val="18"/>
                                      </w:rPr>
                                    </w:pPr>
                                    <w:r>
                                      <w:rPr>
                                        <w:rFonts w:ascii="Georgia" w:hAnsi="Georgia"/>
                                        <w:color w:val="000000"/>
                                        <w:sz w:val="18"/>
                                        <w:szCs w:val="18"/>
                                      </w:rPr>
                                      <w:t>Affirm that generators may use on-site evaporators to treat hazardous wastewaters under the "generator treatment in tanks" RCRA permitting exemption</w:t>
                                    </w:r>
                                  </w:p>
                                  <w:p w:rsidR="00B6466D" w:rsidRDefault="00B6466D">
                                    <w:pPr>
                                      <w:numPr>
                                        <w:ilvl w:val="0"/>
                                        <w:numId w:val="5"/>
                                      </w:numPr>
                                      <w:spacing w:before="100" w:beforeAutospacing="1" w:after="100" w:afterAutospacing="1"/>
                                      <w:rPr>
                                        <w:rFonts w:ascii="Georgia" w:hAnsi="Georgia"/>
                                        <w:color w:val="000000"/>
                                        <w:sz w:val="18"/>
                                        <w:szCs w:val="18"/>
                                      </w:rPr>
                                    </w:pPr>
                                    <w:r>
                                      <w:rPr>
                                        <w:rFonts w:ascii="Georgia" w:hAnsi="Georgia"/>
                                        <w:color w:val="000000"/>
                                        <w:sz w:val="18"/>
                                        <w:szCs w:val="18"/>
                                      </w:rPr>
                                      <w:t>Identify what forms of thermal treatment it considers appropriate for the evaporation of wastewater under the generator treatment RCRA permitting exemption</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NEWMOA also urged EPA to support states in taking the lead in implementing programs to effectively regulate evaporators until such time as the Agency provides unambiguous guidance or promulgates new rules.</w:t>
                                    </w:r>
                                  </w:p>
                                </w:tc>
                              </w:tr>
                            </w:tbl>
                            <w:p w:rsidR="00B6466D" w:rsidRDefault="00B6466D">
                              <w:pPr>
                                <w:jc w:val="center"/>
                                <w:rPr>
                                  <w:vanish/>
                                </w:rPr>
                              </w:pPr>
                              <w:bookmarkStart w:id="5" w:name="LETTER.BLOCK160"/>
                              <w:bookmarkEnd w:id="5"/>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Pollution Prevention &amp; Sustainability Program</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7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t>Zero Waste Professional Network</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In the next few months, NEWMOA will launch a professional network of zero waste program managers and staff from federal, state, and local programs and independent experts that supported the work of these programs this spring. The goals of this initiative are to:</w:t>
                                    </w:r>
                                  </w:p>
                                  <w:p w:rsidR="00B6466D" w:rsidRDefault="00B6466D">
                                    <w:pPr>
                                      <w:numPr>
                                        <w:ilvl w:val="0"/>
                                        <w:numId w:val="6"/>
                                      </w:numPr>
                                      <w:spacing w:before="100" w:beforeAutospacing="1" w:after="100" w:afterAutospacing="1"/>
                                      <w:rPr>
                                        <w:rFonts w:ascii="Georgia" w:hAnsi="Georgia"/>
                                        <w:color w:val="000000"/>
                                        <w:sz w:val="18"/>
                                        <w:szCs w:val="18"/>
                                      </w:rPr>
                                    </w:pPr>
                                    <w:r>
                                      <w:rPr>
                                        <w:rFonts w:ascii="Georgia" w:hAnsi="Georgia"/>
                                        <w:color w:val="000000"/>
                                        <w:sz w:val="18"/>
                                        <w:szCs w:val="18"/>
                                      </w:rPr>
                                      <w:t>Provide forums for zero waste professionals to share information on program development and implementation</w:t>
                                    </w:r>
                                  </w:p>
                                  <w:p w:rsidR="00B6466D" w:rsidRDefault="00B6466D">
                                    <w:pPr>
                                      <w:numPr>
                                        <w:ilvl w:val="0"/>
                                        <w:numId w:val="6"/>
                                      </w:numPr>
                                      <w:spacing w:before="100" w:beforeAutospacing="1" w:after="100" w:afterAutospacing="1"/>
                                      <w:rPr>
                                        <w:rFonts w:ascii="Georgia" w:hAnsi="Georgia"/>
                                        <w:color w:val="000000"/>
                                        <w:sz w:val="18"/>
                                        <w:szCs w:val="18"/>
                                      </w:rPr>
                                    </w:pPr>
                                    <w:r>
                                      <w:rPr>
                                        <w:rFonts w:ascii="Georgia" w:hAnsi="Georgia"/>
                                        <w:color w:val="000000"/>
                                        <w:sz w:val="18"/>
                                        <w:szCs w:val="18"/>
                                      </w:rPr>
                                      <w:t>Foster innovation through the exchange of ideas in real time</w:t>
                                    </w:r>
                                  </w:p>
                                  <w:p w:rsidR="00B6466D" w:rsidRDefault="00B6466D">
                                    <w:pPr>
                                      <w:numPr>
                                        <w:ilvl w:val="0"/>
                                        <w:numId w:val="6"/>
                                      </w:numPr>
                                      <w:spacing w:before="100" w:beforeAutospacing="1" w:after="100" w:afterAutospacing="1"/>
                                      <w:rPr>
                                        <w:rFonts w:ascii="Georgia" w:hAnsi="Georgia"/>
                                        <w:color w:val="000000"/>
                                        <w:sz w:val="18"/>
                                        <w:szCs w:val="18"/>
                                      </w:rPr>
                                    </w:pPr>
                                    <w:r>
                                      <w:rPr>
                                        <w:rFonts w:ascii="Georgia" w:hAnsi="Georgia"/>
                                        <w:color w:val="000000"/>
                                        <w:sz w:val="18"/>
                                        <w:szCs w:val="18"/>
                                      </w:rPr>
                                      <w:t>Increase the adoption of zero waste practices among practitioners</w:t>
                                    </w:r>
                                  </w:p>
                                  <w:p w:rsidR="00B6466D" w:rsidRDefault="00B6466D">
                                    <w:pPr>
                                      <w:numPr>
                                        <w:ilvl w:val="0"/>
                                        <w:numId w:val="6"/>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Increase awareness of zero waste opportunities and resources </w:t>
                                    </w:r>
                                  </w:p>
                                  <w:p w:rsidR="00B6466D" w:rsidRDefault="00B6466D">
                                    <w:pPr>
                                      <w:numPr>
                                        <w:ilvl w:val="0"/>
                                        <w:numId w:val="6"/>
                                      </w:numPr>
                                      <w:spacing w:before="100" w:beforeAutospacing="1" w:after="100" w:afterAutospacing="1"/>
                                      <w:rPr>
                                        <w:rFonts w:ascii="Georgia" w:hAnsi="Georgia"/>
                                        <w:color w:val="000000"/>
                                        <w:sz w:val="18"/>
                                        <w:szCs w:val="18"/>
                                      </w:rPr>
                                    </w:pPr>
                                    <w:r>
                                      <w:rPr>
                                        <w:rFonts w:ascii="Georgia" w:hAnsi="Georgia"/>
                                        <w:color w:val="000000"/>
                                        <w:sz w:val="18"/>
                                        <w:szCs w:val="18"/>
                                      </w:rPr>
                                      <w:t>Elevate the profile of zero waste programs</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The conceptual framework for the site is to facilitate the free exchange of information among network members through the use of a social networking platform/software that includes the following features: </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Discussion forums</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Member directory with profiles</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Groups focused on discrete zero waste-related topics</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Calendar of events</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Documents and links repository</w:t>
                                    </w:r>
                                  </w:p>
                                  <w:p w:rsidR="00B6466D" w:rsidRDefault="00B6466D">
                                    <w:pPr>
                                      <w:numPr>
                                        <w:ilvl w:val="0"/>
                                        <w:numId w:val="7"/>
                                      </w:numPr>
                                      <w:spacing w:before="100" w:beforeAutospacing="1" w:after="100" w:afterAutospacing="1"/>
                                      <w:rPr>
                                        <w:rFonts w:ascii="Georgia" w:hAnsi="Georgia"/>
                                        <w:color w:val="000000"/>
                                        <w:sz w:val="18"/>
                                        <w:szCs w:val="18"/>
                                      </w:rPr>
                                    </w:pPr>
                                    <w:r>
                                      <w:rPr>
                                        <w:rFonts w:ascii="Georgia" w:hAnsi="Georgia"/>
                                        <w:color w:val="000000"/>
                                        <w:sz w:val="18"/>
                                        <w:szCs w:val="18"/>
                                      </w:rPr>
                                      <w:t>Jobs board</w:t>
                                    </w:r>
                                  </w:p>
                                  <w:p w:rsidR="00B6466D" w:rsidRDefault="00B6466D" w:rsidP="00B6466D">
                                    <w:pPr>
                                      <w:spacing w:before="100" w:beforeAutospacing="1" w:after="100" w:afterAutospacing="1"/>
                                      <w:ind w:left="720"/>
                                      <w:rPr>
                                        <w:rFonts w:ascii="Georgia" w:hAnsi="Georgia"/>
                                        <w:color w:val="000000"/>
                                        <w:sz w:val="18"/>
                                        <w:szCs w:val="18"/>
                                      </w:rPr>
                                    </w:pPr>
                                  </w:p>
                                </w:tc>
                              </w:tr>
                            </w:tbl>
                            <w:p w:rsidR="00B6466D" w:rsidRDefault="00B6466D">
                              <w:pPr>
                                <w:jc w:val="center"/>
                                <w:rPr>
                                  <w:sz w:val="20"/>
                                  <w:szCs w:val="20"/>
                                </w:rPr>
                              </w:pPr>
                            </w:p>
                          </w:tc>
                        </w:tr>
                      </w:tbl>
                      <w:p w:rsidR="00B6466D" w:rsidRDefault="00B6466D">
                        <w:pPr>
                          <w:jc w:val="center"/>
                          <w:rPr>
                            <w:sz w:val="20"/>
                            <w:szCs w:val="20"/>
                          </w:rPr>
                        </w:pPr>
                      </w:p>
                    </w:tc>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2850"/>
                        </w:tblGrid>
                        <w:tr w:rsidR="00B6466D">
                          <w:trPr>
                            <w:tblCellSpacing w:w="0" w:type="dxa"/>
                            <w:jc w:val="center"/>
                          </w:trPr>
                          <w:tc>
                            <w:tcPr>
                              <w:tcW w:w="5000" w:type="pct"/>
                              <w:tcMar>
                                <w:top w:w="0" w:type="dxa"/>
                                <w:left w:w="180" w:type="dxa"/>
                                <w:bottom w:w="0" w:type="dxa"/>
                                <w:right w:w="180" w:type="dxa"/>
                              </w:tcMar>
                            </w:tcPr>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lastRenderedPageBreak/>
                                      <w:drawing>
                                        <wp:inline distT="0" distB="0" distL="0" distR="0">
                                          <wp:extent cx="44450" cy="6350"/>
                                          <wp:effectExtent l="0" t="0" r="0" b="0"/>
                                          <wp:docPr id="14" name="Picture 14"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Tahoma" w:hAnsi="Tahoma" w:cs="Tahoma"/>
                                        <w:b/>
                                        <w:bCs/>
                                        <w:color w:val="000000"/>
                                        <w:sz w:val="22"/>
                                        <w:szCs w:val="22"/>
                                      </w:rPr>
                                    </w:pPr>
                                    <w:r>
                                      <w:rPr>
                                        <w:rFonts w:ascii="Tahoma" w:hAnsi="Tahoma" w:cs="Tahoma"/>
                                        <w:b/>
                                        <w:bCs/>
                                        <w:color w:val="000000"/>
                                        <w:sz w:val="22"/>
                                        <w:szCs w:val="22"/>
                                      </w:rPr>
                                      <w:t>In This Issue</w:t>
                                    </w:r>
                                  </w:p>
                                </w:tc>
                              </w:tr>
                              <w:tr w:rsidR="00B6466D">
                                <w:trPr>
                                  <w:tblCellSpacing w:w="0" w:type="dxa"/>
                                  <w:jc w:val="center"/>
                                </w:trPr>
                                <w:tc>
                                  <w:tcPr>
                                    <w:tcW w:w="0" w:type="auto"/>
                                    <w:tcMar>
                                      <w:top w:w="0" w:type="dxa"/>
                                      <w:left w:w="120" w:type="dxa"/>
                                      <w:bottom w:w="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2250"/>
                                    </w:tblGrid>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46" w:history="1">
                                            <w:r>
                                              <w:rPr>
                                                <w:rStyle w:val="Hyperlink"/>
                                                <w:rFonts w:ascii="Tahoma" w:hAnsi="Tahoma" w:cs="Tahoma"/>
                                                <w:sz w:val="22"/>
                                                <w:szCs w:val="22"/>
                                              </w:rPr>
                                              <w:t>Hazardous Wa</w:t>
                                            </w:r>
                                            <w:r>
                                              <w:rPr>
                                                <w:rStyle w:val="Hyperlink"/>
                                                <w:rFonts w:ascii="Tahoma" w:hAnsi="Tahoma" w:cs="Tahoma"/>
                                                <w:sz w:val="22"/>
                                                <w:szCs w:val="22"/>
                                              </w:rPr>
                                              <w:t>s</w:t>
                                            </w:r>
                                            <w:r>
                                              <w:rPr>
                                                <w:rStyle w:val="Hyperlink"/>
                                                <w:rFonts w:ascii="Tahoma" w:hAnsi="Tahoma" w:cs="Tahoma"/>
                                                <w:sz w:val="22"/>
                                                <w:szCs w:val="22"/>
                                              </w:rPr>
                                              <w:t>te</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160" w:history="1">
                                            <w:r>
                                              <w:rPr>
                                                <w:rStyle w:val="Hyperlink"/>
                                                <w:rFonts w:ascii="Tahoma" w:hAnsi="Tahoma" w:cs="Tahoma"/>
                                                <w:sz w:val="22"/>
                                                <w:szCs w:val="22"/>
                                              </w:rPr>
                                              <w:t>Pollution Preve</w:t>
                                            </w:r>
                                            <w:r>
                                              <w:rPr>
                                                <w:rStyle w:val="Hyperlink"/>
                                                <w:rFonts w:ascii="Tahoma" w:hAnsi="Tahoma" w:cs="Tahoma"/>
                                                <w:sz w:val="22"/>
                                                <w:szCs w:val="22"/>
                                              </w:rPr>
                                              <w:t>n</w:t>
                                            </w:r>
                                            <w:r>
                                              <w:rPr>
                                                <w:rStyle w:val="Hyperlink"/>
                                                <w:rFonts w:ascii="Tahoma" w:hAnsi="Tahoma" w:cs="Tahoma"/>
                                                <w:sz w:val="22"/>
                                                <w:szCs w:val="22"/>
                                              </w:rPr>
                                              <w:t>tion &amp; Sustainability Program</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63" w:history="1">
                                            <w:r>
                                              <w:rPr>
                                                <w:rStyle w:val="Hyperlink"/>
                                                <w:rFonts w:ascii="Tahoma" w:hAnsi="Tahoma" w:cs="Tahoma"/>
                                                <w:sz w:val="22"/>
                                                <w:szCs w:val="22"/>
                                              </w:rPr>
                                              <w:t>Staff Ne</w:t>
                                            </w:r>
                                            <w:r>
                                              <w:rPr>
                                                <w:rStyle w:val="Hyperlink"/>
                                                <w:rFonts w:ascii="Tahoma" w:hAnsi="Tahoma" w:cs="Tahoma"/>
                                                <w:sz w:val="22"/>
                                                <w:szCs w:val="22"/>
                                              </w:rPr>
                                              <w:t>w</w:t>
                                            </w:r>
                                            <w:r>
                                              <w:rPr>
                                                <w:rStyle w:val="Hyperlink"/>
                                                <w:rFonts w:ascii="Tahoma" w:hAnsi="Tahoma" w:cs="Tahoma"/>
                                                <w:sz w:val="22"/>
                                                <w:szCs w:val="22"/>
                                              </w:rPr>
                                              <w:t>s</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154" w:history="1">
                                            <w:r>
                                              <w:rPr>
                                                <w:rStyle w:val="Hyperlink"/>
                                                <w:rFonts w:ascii="Tahoma" w:hAnsi="Tahoma" w:cs="Tahoma"/>
                                                <w:sz w:val="22"/>
                                                <w:szCs w:val="22"/>
                                              </w:rPr>
                                              <w:t>NEWMOA Interns</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183" w:history="1">
                                            <w:r>
                                              <w:rPr>
                                                <w:rStyle w:val="Hyperlink"/>
                                                <w:rFonts w:ascii="Tahoma" w:hAnsi="Tahoma" w:cs="Tahoma"/>
                                                <w:sz w:val="22"/>
                                                <w:szCs w:val="22"/>
                                              </w:rPr>
                                              <w:t xml:space="preserve">IC2 Blog on </w:t>
                                            </w:r>
                                            <w:proofErr w:type="spellStart"/>
                                            <w:r>
                                              <w:rPr>
                                                <w:rStyle w:val="Hyperlink"/>
                                                <w:rFonts w:ascii="Tahoma" w:hAnsi="Tahoma" w:cs="Tahoma"/>
                                                <w:sz w:val="22"/>
                                                <w:szCs w:val="22"/>
                                              </w:rPr>
                                              <w:t>GreenBiz</w:t>
                                            </w:r>
                                            <w:proofErr w:type="spellEnd"/>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128" w:history="1">
                                            <w:r>
                                              <w:rPr>
                                                <w:rStyle w:val="Hyperlink"/>
                                                <w:rFonts w:ascii="Tahoma" w:hAnsi="Tahoma" w:cs="Tahoma"/>
                                                <w:sz w:val="22"/>
                                                <w:szCs w:val="22"/>
                                              </w:rPr>
                                              <w:t>IC2</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89" w:history="1">
                                            <w:r>
                                              <w:rPr>
                                                <w:rStyle w:val="Hyperlink"/>
                                                <w:rFonts w:ascii="Tahoma" w:hAnsi="Tahoma" w:cs="Tahoma"/>
                                                <w:sz w:val="22"/>
                                                <w:szCs w:val="22"/>
                                              </w:rPr>
                                              <w:t>IMERC</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95" w:history="1">
                                            <w:r>
                                              <w:rPr>
                                                <w:rStyle w:val="Hyperlink"/>
                                                <w:rFonts w:ascii="Tahoma" w:hAnsi="Tahoma" w:cs="Tahoma"/>
                                                <w:sz w:val="22"/>
                                                <w:szCs w:val="22"/>
                                              </w:rPr>
                                              <w:t>Lean &amp; Process Improvement Summit</w:t>
                                            </w:r>
                                          </w:hyperlink>
                                        </w:p>
                                      </w:tc>
                                    </w:tr>
                                    <w:tr w:rsidR="00B6466D">
                                      <w:trPr>
                                        <w:tblCellSpacing w:w="0" w:type="dxa"/>
                                      </w:trPr>
                                      <w:tc>
                                        <w:tcPr>
                                          <w:tcW w:w="0" w:type="auto"/>
                                          <w:tcMar>
                                            <w:top w:w="0" w:type="dxa"/>
                                            <w:left w:w="0" w:type="dxa"/>
                                            <w:bottom w:w="105" w:type="dxa"/>
                                            <w:right w:w="0" w:type="dxa"/>
                                          </w:tcMar>
                                          <w:hideMark/>
                                        </w:tcPr>
                                        <w:p w:rsidR="00B6466D" w:rsidRDefault="00B6466D">
                                          <w:pPr>
                                            <w:rPr>
                                              <w:rFonts w:ascii="Tahoma" w:hAnsi="Tahoma" w:cs="Tahoma"/>
                                              <w:color w:val="0000FF"/>
                                              <w:sz w:val="22"/>
                                              <w:szCs w:val="22"/>
                                            </w:rPr>
                                          </w:pPr>
                                          <w:hyperlink w:anchor="LETTER.BLOCK135" w:history="1">
                                            <w:r>
                                              <w:rPr>
                                                <w:rStyle w:val="Hyperlink"/>
                                                <w:rFonts w:ascii="Tahoma" w:hAnsi="Tahoma" w:cs="Tahoma"/>
                                                <w:sz w:val="22"/>
                                                <w:szCs w:val="22"/>
                                              </w:rPr>
                                              <w:t>Sustainable Compliance Results Workgroup</w:t>
                                            </w:r>
                                          </w:hyperlink>
                                        </w:p>
                                      </w:tc>
                                    </w:tr>
                                  </w:tbl>
                                  <w:p w:rsidR="00B6466D" w:rsidRDefault="00B6466D">
                                    <w:pP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drawing>
                                        <wp:inline distT="0" distB="0" distL="0" distR="0">
                                          <wp:extent cx="44450" cy="6350"/>
                                          <wp:effectExtent l="0" t="0" r="0" b="0"/>
                                          <wp:docPr id="13" name="Picture 13"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bookmarkStart w:id="6" w:name="LETTER.BLOCK63"/>
                              <w:bookmarkEnd w:id="6"/>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shd w:val="clear" w:color="auto" w:fill="29518E"/>
                                    <w:tcMar>
                                      <w:top w:w="105" w:type="dxa"/>
                                      <w:left w:w="120" w:type="dxa"/>
                                      <w:bottom w:w="105" w:type="dxa"/>
                                      <w:right w:w="120" w:type="dxa"/>
                                    </w:tcMar>
                                    <w:hideMark/>
                                  </w:tcPr>
                                  <w:p w:rsidR="00B6466D" w:rsidRDefault="00B6466D">
                                    <w:pPr>
                                      <w:jc w:val="center"/>
                                      <w:rPr>
                                        <w:rFonts w:ascii="Tahoma" w:hAnsi="Tahoma" w:cs="Tahoma"/>
                                        <w:color w:val="FFFFFF"/>
                                        <w:sz w:val="22"/>
                                        <w:szCs w:val="22"/>
                                      </w:rPr>
                                    </w:pPr>
                                    <w:r>
                                      <w:rPr>
                                        <w:rStyle w:val="Strong"/>
                                        <w:rFonts w:ascii="Tahoma" w:hAnsi="Tahoma" w:cs="Tahoma"/>
                                        <w:color w:val="FFFFFF"/>
                                        <w:sz w:val="22"/>
                                        <w:szCs w:val="22"/>
                                      </w:rPr>
                                      <w:t>Staff News</w:t>
                                    </w:r>
                                  </w:p>
                                </w:tc>
                              </w:tr>
                            </w:tbl>
                            <w:p w:rsidR="00B6466D" w:rsidRDefault="00B6466D">
                              <w:pPr>
                                <w:jc w:val="center"/>
                                <w:rPr>
                                  <w:vanish/>
                                </w:rPr>
                              </w:pPr>
                              <w:bookmarkStart w:id="7" w:name="LETTER.BLOCK155"/>
                              <w:bookmarkEnd w:id="7"/>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Rachel Smith, NEWMOA's Project Coordinator gave birth to a baby boy, Theodore in April. She and the baby are doing well. She will be out on leave until the beginning of September. Congratulations to Rachel and her family!</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drawing>
                                        <wp:inline distT="0" distB="0" distL="0" distR="0">
                                          <wp:extent cx="44450" cy="6350"/>
                                          <wp:effectExtent l="0" t="0" r="0" b="0"/>
                                          <wp:docPr id="12" name="Picture 12"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bookmarkStart w:id="8" w:name="LETTER.BLOCK154"/>
                              <w:bookmarkEnd w:id="8"/>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shd w:val="clear" w:color="auto" w:fill="29518E"/>
                                    <w:tcMar>
                                      <w:top w:w="105" w:type="dxa"/>
                                      <w:left w:w="120" w:type="dxa"/>
                                      <w:bottom w:w="105" w:type="dxa"/>
                                      <w:right w:w="120" w:type="dxa"/>
                                    </w:tcMar>
                                    <w:hideMark/>
                                  </w:tcPr>
                                  <w:p w:rsidR="00B6466D" w:rsidRDefault="00B6466D">
                                    <w:pPr>
                                      <w:jc w:val="center"/>
                                      <w:rPr>
                                        <w:rFonts w:ascii="Tahoma" w:hAnsi="Tahoma" w:cs="Tahoma"/>
                                        <w:color w:val="FFFFFF"/>
                                        <w:sz w:val="22"/>
                                        <w:szCs w:val="22"/>
                                      </w:rPr>
                                    </w:pPr>
                                    <w:r>
                                      <w:rPr>
                                        <w:rStyle w:val="Strong"/>
                                        <w:rFonts w:ascii="Tahoma" w:hAnsi="Tahoma" w:cs="Tahoma"/>
                                        <w:color w:val="FFFFFF"/>
                                        <w:sz w:val="22"/>
                                        <w:szCs w:val="22"/>
                                      </w:rPr>
                                      <w:t>Appreciation for NEWMOA's Hardworking Interns!</w:t>
                                    </w:r>
                                  </w:p>
                                </w:tc>
                              </w:tr>
                            </w:tbl>
                            <w:p w:rsidR="00B6466D" w:rsidRDefault="00B6466D">
                              <w:pPr>
                                <w:jc w:val="center"/>
                                <w:rPr>
                                  <w:vanish/>
                                </w:rPr>
                              </w:pPr>
                              <w:bookmarkStart w:id="9" w:name="LETTER.BLOCK64"/>
                              <w:bookmarkEnd w:id="9"/>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NEWMOA's interns - </w:t>
                                    </w:r>
                                    <w:proofErr w:type="spellStart"/>
                                    <w:r>
                                      <w:rPr>
                                        <w:rFonts w:ascii="Georgia" w:hAnsi="Georgia"/>
                                        <w:color w:val="000000"/>
                                        <w:sz w:val="18"/>
                                        <w:szCs w:val="18"/>
                                      </w:rPr>
                                      <w:t>Giyan</w:t>
                                    </w:r>
                                    <w:proofErr w:type="spellEnd"/>
                                    <w:r>
                                      <w:rPr>
                                        <w:rFonts w:ascii="Georgia" w:hAnsi="Georgia"/>
                                        <w:color w:val="000000"/>
                                        <w:sz w:val="18"/>
                                        <w:szCs w:val="18"/>
                                      </w:rPr>
                                      <w:t xml:space="preserve"> Chan and </w:t>
                                    </w:r>
                                    <w:proofErr w:type="spellStart"/>
                                    <w:r>
                                      <w:rPr>
                                        <w:rFonts w:ascii="Georgia" w:hAnsi="Georgia"/>
                                        <w:color w:val="000000"/>
                                        <w:sz w:val="18"/>
                                        <w:szCs w:val="18"/>
                                      </w:rPr>
                                      <w:t>Guangyu</w:t>
                                    </w:r>
                                    <w:proofErr w:type="spellEnd"/>
                                    <w:r>
                                      <w:rPr>
                                        <w:rFonts w:ascii="Georgia" w:hAnsi="Georgia"/>
                                        <w:color w:val="000000"/>
                                        <w:sz w:val="18"/>
                                        <w:szCs w:val="18"/>
                                      </w:rPr>
                                      <w:t xml:space="preserve"> Yang - have been very busy and productive in recent months.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lastRenderedPageBreak/>
                                      <w:t> </w:t>
                                    </w:r>
                                  </w:p>
                                  <w:p w:rsidR="00B6466D" w:rsidRDefault="00B6466D">
                                    <w:pPr>
                                      <w:pStyle w:val="NormalWeb"/>
                                      <w:spacing w:before="0" w:beforeAutospacing="0" w:after="0" w:afterAutospacing="0"/>
                                      <w:rPr>
                                        <w:rFonts w:ascii="Georgia" w:hAnsi="Georgia"/>
                                        <w:color w:val="000000"/>
                                        <w:sz w:val="18"/>
                                        <w:szCs w:val="18"/>
                                      </w:rPr>
                                    </w:pPr>
                                    <w:proofErr w:type="spellStart"/>
                                    <w:r>
                                      <w:rPr>
                                        <w:rFonts w:ascii="Georgia" w:hAnsi="Georgia"/>
                                        <w:color w:val="000000"/>
                                        <w:sz w:val="18"/>
                                        <w:szCs w:val="18"/>
                                      </w:rPr>
                                      <w:t>Giyan</w:t>
                                    </w:r>
                                    <w:proofErr w:type="spellEnd"/>
                                    <w:r>
                                      <w:rPr>
                                        <w:rFonts w:ascii="Georgia" w:hAnsi="Georgia"/>
                                        <w:color w:val="000000"/>
                                        <w:sz w:val="18"/>
                                        <w:szCs w:val="18"/>
                                      </w:rPr>
                                      <w:t xml:space="preserve"> is a junior at Suffolk University majoring in computer science. She has been helping with development of a variety of websites and web resources. She provides critical support for a soon-to-be release Zero Waste Social Network, a green business software package that will support NEWMOA's Sustainable Grocers recognition initiative, and Green Chemistry Connection. She also helps with routine updates to NEWMOA's website.  </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0" w:type="dxa"/>
                                      <w:left w:w="120" w:type="dxa"/>
                                      <w:bottom w:w="0" w:type="dxa"/>
                                      <w:right w:w="120" w:type="dxa"/>
                                    </w:tcMar>
                                    <w:hideMark/>
                                  </w:tcPr>
                                  <w:p w:rsidR="00B6466D" w:rsidRDefault="00B6466D">
                                    <w:pPr>
                                      <w:jc w:val="center"/>
                                      <w:rPr>
                                        <w:color w:val="000000"/>
                                        <w:sz w:val="22"/>
                                        <w:szCs w:val="22"/>
                                      </w:rPr>
                                    </w:pPr>
                                    <w:r>
                                      <w:rPr>
                                        <w:noProof/>
                                        <w:color w:val="000000"/>
                                        <w:sz w:val="22"/>
                                        <w:szCs w:val="22"/>
                                      </w:rPr>
                                      <w:drawing>
                                        <wp:inline distT="0" distB="0" distL="0" distR="0">
                                          <wp:extent cx="1428750" cy="1905000"/>
                                          <wp:effectExtent l="0" t="0" r="0" b="0"/>
                                          <wp:docPr id="11" name="Picture 11" descr="http://ih.constantcontact.com/fs122/1111234994262/img/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h.constantcontact.com/fs122/1111234994262/img/7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r>
                            </w:tbl>
                            <w:p w:rsidR="00B6466D" w:rsidRDefault="00B6466D">
                              <w:pPr>
                                <w:jc w:val="center"/>
                                <w:rPr>
                                  <w:vanish/>
                                </w:rPr>
                              </w:pPr>
                              <w:bookmarkStart w:id="10" w:name="LETTER.BLOCK178"/>
                              <w:bookmarkEnd w:id="10"/>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proofErr w:type="spellStart"/>
                                    <w:r>
                                      <w:rPr>
                                        <w:rFonts w:ascii="Georgia" w:hAnsi="Georgia"/>
                                        <w:color w:val="000000"/>
                                        <w:sz w:val="18"/>
                                        <w:szCs w:val="18"/>
                                      </w:rPr>
                                      <w:t>Guangyu</w:t>
                                    </w:r>
                                    <w:proofErr w:type="spellEnd"/>
                                    <w:r>
                                      <w:rPr>
                                        <w:rFonts w:ascii="Georgia" w:hAnsi="Georgia"/>
                                        <w:color w:val="000000"/>
                                        <w:sz w:val="18"/>
                                        <w:szCs w:val="18"/>
                                      </w:rPr>
                                      <w:t xml:space="preserve"> recently completed a Masters' Degree from Boston University with a concentration in energy and environmental analysis. She is providing support for IMERC while Rachel Smith is on maternity leave. She answers daily questions from companies and others about how to access and navigate the IMERC e-filing system, and she helps with keeping the members informed of IMERC's activities. She is also providing support for NEWMOA's efforts to analyze state data on solid waste disposal, and she is developing outcome measures to support our Sustainable Grocers Initiative.</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0" w:type="dxa"/>
                                      <w:left w:w="120" w:type="dxa"/>
                                      <w:bottom w:w="0" w:type="dxa"/>
                                      <w:right w:w="120" w:type="dxa"/>
                                    </w:tcMar>
                                    <w:hideMark/>
                                  </w:tcPr>
                                  <w:p w:rsidR="00B6466D" w:rsidRDefault="00B6466D">
                                    <w:pPr>
                                      <w:jc w:val="center"/>
                                      <w:rPr>
                                        <w:color w:val="000000"/>
                                        <w:sz w:val="22"/>
                                        <w:szCs w:val="22"/>
                                      </w:rPr>
                                    </w:pPr>
                                    <w:r>
                                      <w:rPr>
                                        <w:noProof/>
                                        <w:color w:val="000000"/>
                                        <w:sz w:val="22"/>
                                        <w:szCs w:val="22"/>
                                      </w:rPr>
                                      <w:lastRenderedPageBreak/>
                                      <w:drawing>
                                        <wp:inline distT="0" distB="0" distL="0" distR="0">
                                          <wp:extent cx="1428750" cy="1905000"/>
                                          <wp:effectExtent l="0" t="0" r="0" b="0"/>
                                          <wp:docPr id="10" name="Picture 10" descr="http://ih.constantcontact.com/fs122/1111234994262/img/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h.constantcontact.com/fs122/1111234994262/img/7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vAlign w:val="center"/>
                                    <w:hideMark/>
                                  </w:tcPr>
                                  <w:p w:rsidR="00B6466D" w:rsidRDefault="00B6466D">
                                    <w:pPr>
                                      <w:spacing w:line="15" w:lineRule="atLeast"/>
                                      <w:jc w:val="center"/>
                                    </w:pPr>
                                    <w:r>
                                      <w:rPr>
                                        <w:noProof/>
                                      </w:rPr>
                                      <w:drawing>
                                        <wp:inline distT="0" distB="0" distL="0" distR="0">
                                          <wp:extent cx="44450" cy="6350"/>
                                          <wp:effectExtent l="0" t="0" r="0" b="0"/>
                                          <wp:docPr id="9" name="Picture 9"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bookmarkStart w:id="11" w:name="LETTER.BLOCK157"/>
                              <w:bookmarkEnd w:id="11"/>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Georgia" w:hAnsi="Georgia"/>
                                        <w:color w:val="000000"/>
                                        <w:sz w:val="18"/>
                                        <w:szCs w:val="18"/>
                                      </w:rPr>
                                    </w:pPr>
                                    <w:r>
                                      <w:rPr>
                                        <w:rFonts w:ascii="Georgia" w:hAnsi="Georgia"/>
                                        <w:color w:val="000000"/>
                                        <w:sz w:val="18"/>
                                        <w:szCs w:val="18"/>
                                      </w:rPr>
                                      <w:t>NEWMOA is hiring two more interns this summer. One of them will help with providing content and support for our professional networks. The other intern will conduct research and populate the IC2 State Chemicals Policy Database.</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hideMark/>
                                  </w:tcPr>
                                  <w:p w:rsidR="00B6466D" w:rsidRDefault="00B6466D">
                                    <w:pPr>
                                      <w:jc w:val="center"/>
                                      <w:rPr>
                                        <w:color w:val="000000"/>
                                        <w:sz w:val="22"/>
                                        <w:szCs w:val="22"/>
                                      </w:rPr>
                                    </w:pPr>
                                    <w:r>
                                      <w:rPr>
                                        <w:noProof/>
                                        <w:color w:val="000000"/>
                                        <w:sz w:val="22"/>
                                        <w:szCs w:val="22"/>
                                      </w:rPr>
                                      <w:drawing>
                                        <wp:inline distT="0" distB="0" distL="0" distR="0">
                                          <wp:extent cx="44450" cy="6350"/>
                                          <wp:effectExtent l="0" t="0" r="0" b="0"/>
                                          <wp:docPr id="8" name="Picture 8"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bookmarkStart w:id="12" w:name="LETTER.BLOCK183"/>
                              <w:bookmarkEnd w:id="12"/>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shd w:val="clear" w:color="auto" w:fill="29518E"/>
                                    <w:tcMar>
                                      <w:top w:w="105" w:type="dxa"/>
                                      <w:left w:w="120" w:type="dxa"/>
                                      <w:bottom w:w="105" w:type="dxa"/>
                                      <w:right w:w="120" w:type="dxa"/>
                                    </w:tcMar>
                                    <w:hideMark/>
                                  </w:tcPr>
                                  <w:p w:rsidR="00B6466D" w:rsidRDefault="00B6466D">
                                    <w:pPr>
                                      <w:jc w:val="center"/>
                                      <w:rPr>
                                        <w:rFonts w:ascii="Tahoma" w:hAnsi="Tahoma" w:cs="Tahoma"/>
                                        <w:color w:val="FFFFFF"/>
                                        <w:sz w:val="22"/>
                                        <w:szCs w:val="22"/>
                                      </w:rPr>
                                    </w:pPr>
                                    <w:r>
                                      <w:rPr>
                                        <w:rFonts w:ascii="Tahoma" w:hAnsi="Tahoma" w:cs="Tahoma"/>
                                        <w:b/>
                                        <w:bCs/>
                                        <w:color w:val="FFFFFF"/>
                                        <w:sz w:val="22"/>
                                        <w:szCs w:val="22"/>
                                      </w:rPr>
                                      <w:t>IC2 Blog Published to GreenBiz.com</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rHeight w:val="15"/>
                                  <w:tblCellSpacing w:w="0" w:type="dxa"/>
                                  <w:jc w:val="center"/>
                                </w:trPr>
                                <w:tc>
                                  <w:tcPr>
                                    <w:tcW w:w="0" w:type="auto"/>
                                    <w:tcMar>
                                      <w:top w:w="0" w:type="dxa"/>
                                      <w:left w:w="0" w:type="dxa"/>
                                      <w:bottom w:w="165" w:type="dxa"/>
                                      <w:right w:w="0" w:type="dxa"/>
                                    </w:tcMar>
                                    <w:hideMark/>
                                  </w:tcPr>
                                  <w:p w:rsidR="00B6466D" w:rsidRDefault="00B6466D">
                                    <w:pPr>
                                      <w:jc w:val="center"/>
                                      <w:rPr>
                                        <w:color w:val="000000"/>
                                        <w:sz w:val="22"/>
                                        <w:szCs w:val="22"/>
                                      </w:rPr>
                                    </w:pPr>
                                    <w:r>
                                      <w:rPr>
                                        <w:noProof/>
                                        <w:color w:val="000000"/>
                                        <w:sz w:val="22"/>
                                        <w:szCs w:val="22"/>
                                      </w:rPr>
                                      <w:drawing>
                                        <wp:inline distT="0" distB="0" distL="0" distR="0">
                                          <wp:extent cx="44450" cy="6350"/>
                                          <wp:effectExtent l="0" t="0" r="0" b="0"/>
                                          <wp:docPr id="7" name="Picture 7"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0" w:type="dxa"/>
                                      <w:left w:w="120" w:type="dxa"/>
                                      <w:bottom w:w="0" w:type="dxa"/>
                                      <w:right w:w="120" w:type="dxa"/>
                                    </w:tcMar>
                                    <w:hideMark/>
                                  </w:tcPr>
                                  <w:p w:rsidR="00B6466D" w:rsidRDefault="00B6466D">
                                    <w:pPr>
                                      <w:jc w:val="center"/>
                                      <w:rPr>
                                        <w:color w:val="000000"/>
                                        <w:sz w:val="22"/>
                                        <w:szCs w:val="22"/>
                                      </w:rPr>
                                    </w:pPr>
                                    <w:r>
                                      <w:rPr>
                                        <w:noProof/>
                                        <w:color w:val="000000"/>
                                        <w:sz w:val="22"/>
                                        <w:szCs w:val="22"/>
                                      </w:rPr>
                                      <w:drawing>
                                        <wp:inline distT="0" distB="0" distL="0" distR="0">
                                          <wp:extent cx="1428750" cy="1066800"/>
                                          <wp:effectExtent l="0" t="0" r="0" b="0"/>
                                          <wp:docPr id="6" name="Picture 6" descr="http://ih.constantcontact.com/fs122/1111234994262/img/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h.constantcontact.com/fs122/1111234994262/img/7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B6466D" w:rsidRDefault="00B6466D">
                              <w:pPr>
                                <w:jc w:val="center"/>
                                <w:rPr>
                                  <w:vanish/>
                                </w:rPr>
                              </w:pPr>
                              <w:bookmarkStart w:id="13" w:name="LETTER.BLOCK181"/>
                              <w:bookmarkEnd w:id="13"/>
                            </w:p>
                            <w:tbl>
                              <w:tblPr>
                                <w:tblW w:w="5000" w:type="pct"/>
                                <w:jc w:val="center"/>
                                <w:tblCellSpacing w:w="0" w:type="dxa"/>
                                <w:tblCellMar>
                                  <w:left w:w="0" w:type="dxa"/>
                                  <w:right w:w="0" w:type="dxa"/>
                                </w:tblCellMar>
                                <w:tblLook w:val="04A0" w:firstRow="1" w:lastRow="0" w:firstColumn="1" w:lastColumn="0" w:noHBand="0" w:noVBand="1"/>
                              </w:tblPr>
                              <w:tblGrid>
                                <w:gridCol w:w="249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hyperlink r:id="rId21" w:tgtFrame="_blank" w:history="1">
                                      <w:r>
                                        <w:rPr>
                                          <w:rStyle w:val="Hyperlink"/>
                                          <w:rFonts w:ascii="Georgia" w:hAnsi="Georgia"/>
                                          <w:i/>
                                          <w:iCs/>
                                          <w:sz w:val="20"/>
                                          <w:szCs w:val="20"/>
                                        </w:rPr>
                                        <w:t>Ready for chemical alternatives assessment? The IC2 can help</w:t>
                                      </w:r>
                                    </w:hyperlink>
                                    <w:r>
                                      <w:rPr>
                                        <w:rFonts w:ascii="Georgia" w:hAnsi="Georgia"/>
                                        <w:color w:val="000000"/>
                                        <w:sz w:val="18"/>
                                        <w:szCs w:val="18"/>
                                      </w:rPr>
                                      <w:t xml:space="preserve">  </w:t>
                                    </w:r>
                                  </w:p>
                                  <w:p w:rsidR="00B6466D" w:rsidRDefault="00B6466D">
                                    <w:pPr>
                                      <w:rPr>
                                        <w:rFonts w:ascii="Georgia" w:hAnsi="Georgia"/>
                                        <w:color w:val="000000"/>
                                        <w:sz w:val="18"/>
                                        <w:szCs w:val="18"/>
                                      </w:rPr>
                                    </w:pPr>
                                    <w:r>
                                      <w:rPr>
                                        <w:rFonts w:ascii="Georgia" w:hAnsi="Georgia"/>
                                        <w:color w:val="000000"/>
                                        <w:sz w:val="18"/>
                                        <w:szCs w:val="18"/>
                                      </w:rPr>
                                      <w:br/>
                                    </w:r>
                                    <w:proofErr w:type="spellStart"/>
                                    <w:r>
                                      <w:rPr>
                                        <w:rFonts w:ascii="Georgia" w:hAnsi="Georgia"/>
                                        <w:color w:val="000000"/>
                                        <w:sz w:val="18"/>
                                        <w:szCs w:val="18"/>
                                      </w:rPr>
                                      <w:t>Topher</w:t>
                                    </w:r>
                                    <w:proofErr w:type="spellEnd"/>
                                    <w:r>
                                      <w:rPr>
                                        <w:rFonts w:ascii="Georgia" w:hAnsi="Georgia"/>
                                        <w:color w:val="000000"/>
                                        <w:sz w:val="18"/>
                                        <w:szCs w:val="18"/>
                                      </w:rPr>
                                      <w:t xml:space="preserve"> Buck, Project Manager for IC2, recently wrote the above Blog article about the IC2 - published on GreenBiz.com.</w:t>
                                    </w:r>
                                    <w:r>
                                      <w:rPr>
                                        <w:rFonts w:ascii="Georgia" w:hAnsi="Georgia"/>
                                        <w:color w:val="000000"/>
                                        <w:sz w:val="18"/>
                                        <w:szCs w:val="18"/>
                                      </w:rPr>
                                      <w:br/>
                                    </w:r>
                                    <w:r>
                                      <w:rPr>
                                        <w:rFonts w:ascii="Georgia" w:hAnsi="Georgia"/>
                                        <w:color w:val="000000"/>
                                        <w:sz w:val="18"/>
                                        <w:szCs w:val="18"/>
                                      </w:rPr>
                                      <w:br/>
                                      <w:t>The article talks about how the IC2 Alternatives Assessment Guide helps states and companies promote better product design and prevent regrettable substitution.</w:t>
                                    </w:r>
                                  </w:p>
                                </w:tc>
                              </w:tr>
                            </w:tbl>
                            <w:p w:rsidR="00B6466D" w:rsidRDefault="00B6466D">
                              <w:pPr>
                                <w:jc w:val="center"/>
                                <w:rPr>
                                  <w:sz w:val="20"/>
                                  <w:szCs w:val="20"/>
                                </w:rPr>
                              </w:pPr>
                            </w:p>
                          </w:tc>
                        </w:tr>
                      </w:tbl>
                      <w:p w:rsidR="00B6466D" w:rsidRDefault="00B6466D">
                        <w:pPr>
                          <w:jc w:val="center"/>
                          <w:rPr>
                            <w:vanish/>
                          </w:rPr>
                        </w:pPr>
                      </w:p>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B6466D">
                          <w:trPr>
                            <w:trHeight w:val="15"/>
                            <w:tblCellSpacing w:w="0" w:type="dxa"/>
                            <w:jc w:val="center"/>
                          </w:trPr>
                          <w:tc>
                            <w:tcPr>
                              <w:tcW w:w="0" w:type="auto"/>
                              <w:vAlign w:val="center"/>
                              <w:hideMark/>
                            </w:tcPr>
                            <w:p w:rsidR="00B6466D" w:rsidRDefault="00B6466D">
                              <w:pPr>
                                <w:spacing w:line="15" w:lineRule="atLeast"/>
                                <w:jc w:val="center"/>
                              </w:pPr>
                              <w:r>
                                <w:rPr>
                                  <w:noProof/>
                                </w:rPr>
                                <w:drawing>
                                  <wp:inline distT="0" distB="0" distL="0" distR="0">
                                    <wp:extent cx="44450" cy="6350"/>
                                    <wp:effectExtent l="0" t="0" r="0" b="0"/>
                                    <wp:docPr id="5" name="Picture 5"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jc w:val="cente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5000" w:type="pct"/>
                        <w:tcMar>
                          <w:top w:w="0" w:type="dxa"/>
                          <w:left w:w="180" w:type="dxa"/>
                          <w:bottom w:w="0" w:type="dxa"/>
                          <w:right w:w="180" w:type="dxa"/>
                        </w:tcMar>
                      </w:tcPr>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bookmarkStart w:id="14" w:name="LETTER.BLOCK198"/>
                              <w:bookmarkEnd w:id="14"/>
                              <w:r>
                                <w:rPr>
                                  <w:rFonts w:ascii="Tahoma" w:hAnsi="Tahoma" w:cs="Tahoma"/>
                                  <w:b/>
                                  <w:bCs/>
                                  <w:color w:val="FFFFFF"/>
                                  <w:sz w:val="22"/>
                                  <w:szCs w:val="22"/>
                                </w:rPr>
                                <w:lastRenderedPageBreak/>
                                <w:t>Waste Site Cleanup Program</w:t>
                              </w:r>
                            </w:p>
                          </w:tc>
                        </w:tr>
                      </w:tbl>
                      <w:p w:rsidR="00B6466D" w:rsidRDefault="00B6466D">
                        <w:pPr>
                          <w:jc w:val="center"/>
                          <w:rPr>
                            <w:vanish/>
                          </w:rPr>
                        </w:pPr>
                        <w:bookmarkStart w:id="15" w:name="LETTER.BLOCK187"/>
                        <w:bookmarkEnd w:id="15"/>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spacing w:after="240"/>
                                <w:rPr>
                                  <w:rFonts w:ascii="Georgia" w:hAnsi="Georgia"/>
                                  <w:color w:val="000000"/>
                                  <w:sz w:val="18"/>
                                  <w:szCs w:val="18"/>
                                </w:rPr>
                              </w:pPr>
                              <w:r>
                                <w:rPr>
                                  <w:noProof/>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428750" cy="1000125"/>
                                    <wp:effectExtent l="0" t="0" r="0" b="9525"/>
                                    <wp:wrapSquare wrapText="bothSides"/>
                                    <wp:docPr id="20" name="Picture 20" descr="http://ih.constantcontact.com/fs122/1111234994262/img/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h.constantcontact.com/fs122/1111234994262/img/80.pn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olor w:val="000000"/>
                                  <w:sz w:val="18"/>
                                  <w:szCs w:val="18"/>
                                </w:rPr>
                                <w:t>NEWMOA and the </w:t>
                              </w:r>
                              <w:hyperlink r:id="rId23" w:tgtFrame="_blank" w:history="1">
                                <w:r>
                                  <w:rPr>
                                    <w:rStyle w:val="Hyperlink"/>
                                    <w:rFonts w:ascii="Georgia" w:hAnsi="Georgia"/>
                                    <w:sz w:val="18"/>
                                    <w:szCs w:val="18"/>
                                  </w:rPr>
                                  <w:t>Brown University Superfund Research Program</w:t>
                                </w:r>
                              </w:hyperlink>
                              <w:r>
                                <w:rPr>
                                  <w:rFonts w:ascii="Georgia" w:hAnsi="Georgia"/>
                                  <w:color w:val="000000"/>
                                  <w:sz w:val="18"/>
                                  <w:szCs w:val="18"/>
                                </w:rPr>
                                <w:t xml:space="preserve"> held a </w:t>
                              </w:r>
                              <w:hyperlink r:id="rId24" w:tgtFrame="_blank" w:history="1">
                                <w:r>
                                  <w:rPr>
                                    <w:rStyle w:val="Hyperlink"/>
                                    <w:rFonts w:ascii="Georgia" w:hAnsi="Georgia"/>
                                    <w:sz w:val="18"/>
                                    <w:szCs w:val="18"/>
                                  </w:rPr>
                                  <w:t>Communicating Risk to the Public</w:t>
                                </w:r>
                              </w:hyperlink>
                              <w:r>
                                <w:rPr>
                                  <w:rFonts w:ascii="Georgia" w:hAnsi="Georgia"/>
                                  <w:color w:val="000000"/>
                                  <w:sz w:val="18"/>
                                  <w:szCs w:val="18"/>
                                </w:rPr>
                                <w:t xml:space="preserve"> workshop on March 27 and 28 at the Westford Regency Inn and Conference Center in Westford, MA and Brown University in Providence, RI respectively. The workshop provided attendees with expert advice on risk communication in a variety of situations and covered:</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How people think and its effect on risk communication</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Relating risk assessment to real life</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Delivering, controlling, and managing your message</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Understanding today's media</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Risk communication planning</w:t>
                              </w:r>
                            </w:p>
                            <w:p w:rsidR="00B6466D" w:rsidRDefault="00B6466D">
                              <w:pPr>
                                <w:numPr>
                                  <w:ilvl w:val="0"/>
                                  <w:numId w:val="8"/>
                                </w:numPr>
                                <w:spacing w:before="100" w:beforeAutospacing="1" w:after="100" w:afterAutospacing="1"/>
                                <w:rPr>
                                  <w:rFonts w:ascii="Georgia" w:hAnsi="Georgia"/>
                                  <w:color w:val="000000"/>
                                  <w:sz w:val="18"/>
                                  <w:szCs w:val="18"/>
                                </w:rPr>
                              </w:pPr>
                              <w:r>
                                <w:rPr>
                                  <w:rFonts w:ascii="Georgia" w:hAnsi="Georgia"/>
                                  <w:color w:val="000000"/>
                                  <w:sz w:val="18"/>
                                  <w:szCs w:val="18"/>
                                </w:rPr>
                                <w:t>Case studies and lessons learned recommendations</w:t>
                              </w:r>
                            </w:p>
                          </w:tc>
                        </w:tr>
                      </w:tbl>
                      <w:p w:rsidR="00B6466D" w:rsidRDefault="00B6466D">
                        <w:pPr>
                          <w:jc w:val="center"/>
                          <w:rPr>
                            <w:vanish/>
                          </w:rPr>
                        </w:pPr>
                        <w:bookmarkStart w:id="16" w:name="LETTER.BLOCK188"/>
                        <w:bookmarkEnd w:id="16"/>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noProof/>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428750" cy="1495425"/>
                                    <wp:effectExtent l="0" t="0" r="0" b="0"/>
                                    <wp:wrapSquare wrapText="bothSides"/>
                                    <wp:docPr id="19" name="Picture 19" descr="http://ih.constantcontact.com/fs122/1111234994262/img/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h.constantcontact.com/fs122/1111234994262/img/81.pn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olor w:val="000000"/>
                                  <w:sz w:val="18"/>
                                  <w:szCs w:val="18"/>
                                </w:rPr>
                                <w:t xml:space="preserve">NEWMOA partnered with VT DEC and the </w:t>
                              </w:r>
                              <w:hyperlink r:id="rId26" w:tgtFrame="_blank" w:history="1">
                                <w:r>
                                  <w:rPr>
                                    <w:rStyle w:val="Hyperlink"/>
                                    <w:rFonts w:ascii="Georgia" w:hAnsi="Georgia"/>
                                    <w:sz w:val="18"/>
                                    <w:szCs w:val="18"/>
                                  </w:rPr>
                                  <w:t>Brown University Superfund Research Program</w:t>
                                </w:r>
                              </w:hyperlink>
                              <w:r>
                                <w:rPr>
                                  <w:rFonts w:ascii="Georgia" w:hAnsi="Georgia"/>
                                  <w:color w:val="000000"/>
                                  <w:sz w:val="18"/>
                                  <w:szCs w:val="18"/>
                                </w:rPr>
                                <w:t xml:space="preserve"> to hold a </w:t>
                              </w:r>
                              <w:hyperlink r:id="rId27" w:tgtFrame="_blank" w:history="1">
                                <w:r>
                                  <w:rPr>
                                    <w:rStyle w:val="Hyperlink"/>
                                    <w:rFonts w:ascii="Georgia" w:hAnsi="Georgia"/>
                                    <w:sz w:val="18"/>
                                    <w:szCs w:val="18"/>
                                  </w:rPr>
                                  <w:t>Vermont Vapor Intrusion Updates</w:t>
                                </w:r>
                              </w:hyperlink>
                              <w:r>
                                <w:rPr>
                                  <w:rFonts w:ascii="Georgia" w:hAnsi="Georgia"/>
                                  <w:color w:val="000000"/>
                                  <w:sz w:val="18"/>
                                  <w:szCs w:val="18"/>
                                </w:rPr>
                                <w:t xml:space="preserve"> workshop on May 13 in Montpelier, VT. The workshop was a modified version of NEWMOA's September 2013 Vapor Intrusion (VI) Updates workshop and increased attendee understanding of:</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Exposure risk and background issues</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Field sampling methods and demonstration</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Important considerations when interpreting data and modeling</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VI guidance variations across the 50 states</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Upcoming policy and guidance changes</w:t>
                              </w:r>
                            </w:p>
                            <w:p w:rsidR="00B6466D" w:rsidRDefault="00B6466D">
                              <w:pPr>
                                <w:numPr>
                                  <w:ilvl w:val="4"/>
                                  <w:numId w:val="9"/>
                                </w:numPr>
                                <w:spacing w:before="100" w:beforeAutospacing="1" w:after="100" w:afterAutospacing="1"/>
                                <w:rPr>
                                  <w:rFonts w:ascii="Georgia" w:hAnsi="Georgia"/>
                                  <w:color w:val="000000"/>
                                  <w:sz w:val="18"/>
                                  <w:szCs w:val="18"/>
                                </w:rPr>
                              </w:pPr>
                              <w:r>
                                <w:rPr>
                                  <w:rFonts w:ascii="Georgia" w:hAnsi="Georgia"/>
                                  <w:color w:val="000000"/>
                                  <w:sz w:val="18"/>
                                  <w:szCs w:val="18"/>
                                </w:rPr>
                                <w:t>Vermont case studies and lessons learned</w:t>
                              </w:r>
                            </w:p>
                          </w:tc>
                        </w:tr>
                      </w:tbl>
                      <w:p w:rsidR="00B6466D" w:rsidRDefault="00B6466D">
                        <w:pPr>
                          <w:jc w:val="center"/>
                          <w:rPr>
                            <w:vanish/>
                          </w:rPr>
                        </w:pPr>
                        <w:bookmarkStart w:id="17" w:name="LETTER.BLOCK174"/>
                        <w:bookmarkEnd w:id="17"/>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rPr>
                                  <w:rFonts w:ascii="Georgia" w:hAnsi="Georgia"/>
                                  <w:color w:val="000000"/>
                                  <w:sz w:val="18"/>
                                  <w:szCs w:val="18"/>
                                </w:rPr>
                              </w:pPr>
                              <w:r>
                                <w:rPr>
                                  <w:rFonts w:ascii="Georgia" w:hAnsi="Georgia"/>
                                  <w:color w:val="000000"/>
                                  <w:sz w:val="18"/>
                                  <w:szCs w:val="18"/>
                                </w:rPr>
                                <w:t>Upcoming workshop topics include:</w:t>
                              </w:r>
                            </w:p>
                            <w:p w:rsidR="00B6466D" w:rsidRDefault="00B6466D">
                              <w:pPr>
                                <w:numPr>
                                  <w:ilvl w:val="0"/>
                                  <w:numId w:val="10"/>
                                </w:numPr>
                                <w:rPr>
                                  <w:rFonts w:ascii="Georgia" w:hAnsi="Georgia"/>
                                  <w:color w:val="000000"/>
                                  <w:sz w:val="18"/>
                                  <w:szCs w:val="18"/>
                                </w:rPr>
                              </w:pPr>
                              <w:r>
                                <w:rPr>
                                  <w:rFonts w:ascii="Georgia" w:hAnsi="Georgia"/>
                                  <w:color w:val="000000"/>
                                  <w:sz w:val="18"/>
                                  <w:szCs w:val="18"/>
                                </w:rPr>
                                <w:t>September 2014: DNAPL Investigation and Remediation</w:t>
                              </w:r>
                            </w:p>
                            <w:p w:rsidR="00B6466D" w:rsidRDefault="00B6466D">
                              <w:pPr>
                                <w:numPr>
                                  <w:ilvl w:val="0"/>
                                  <w:numId w:val="10"/>
                                </w:numPr>
                                <w:rPr>
                                  <w:rFonts w:ascii="Georgia" w:hAnsi="Georgia"/>
                                  <w:color w:val="000000"/>
                                  <w:sz w:val="18"/>
                                  <w:szCs w:val="18"/>
                                </w:rPr>
                              </w:pPr>
                              <w:r>
                                <w:rPr>
                                  <w:rFonts w:ascii="Georgia" w:hAnsi="Georgia"/>
                                  <w:color w:val="000000"/>
                                  <w:sz w:val="18"/>
                                  <w:szCs w:val="18"/>
                                </w:rPr>
                                <w:t xml:space="preserve">March 2015: 1,4 </w:t>
                              </w:r>
                              <w:proofErr w:type="spellStart"/>
                              <w:r>
                                <w:rPr>
                                  <w:rFonts w:ascii="Georgia" w:hAnsi="Georgia"/>
                                  <w:color w:val="000000"/>
                                  <w:sz w:val="18"/>
                                  <w:szCs w:val="18"/>
                                </w:rPr>
                                <w:t>Dioxane</w:t>
                              </w:r>
                              <w:proofErr w:type="spellEnd"/>
                              <w:r>
                                <w:rPr>
                                  <w:rFonts w:ascii="Georgia" w:hAnsi="Georgia"/>
                                  <w:color w:val="000000"/>
                                  <w:sz w:val="18"/>
                                  <w:szCs w:val="18"/>
                                </w:rPr>
                                <w:t xml:space="preserve"> Assessment and Remediation</w:t>
                              </w:r>
                            </w:p>
                            <w:p w:rsidR="00B6466D" w:rsidRDefault="00B6466D">
                              <w:pPr>
                                <w:numPr>
                                  <w:ilvl w:val="0"/>
                                  <w:numId w:val="10"/>
                                </w:numPr>
                                <w:rPr>
                                  <w:rFonts w:ascii="Georgia" w:hAnsi="Georgia"/>
                                  <w:color w:val="000000"/>
                                  <w:sz w:val="18"/>
                                  <w:szCs w:val="18"/>
                                </w:rPr>
                              </w:pPr>
                              <w:r>
                                <w:rPr>
                                  <w:rFonts w:ascii="Georgia" w:hAnsi="Georgia"/>
                                  <w:color w:val="000000"/>
                                  <w:sz w:val="18"/>
                                  <w:szCs w:val="18"/>
                                </w:rPr>
                                <w:t>June 2015: TCE and Vapor Intrusion</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To be added to the email list for notices about waste site cleanup workshops, email </w:t>
                              </w:r>
                              <w:hyperlink r:id="rId28" w:tgtFrame="_blank" w:history="1">
                                <w:r>
                                  <w:rPr>
                                    <w:rStyle w:val="Hyperlink"/>
                                    <w:rFonts w:ascii="Georgia" w:hAnsi="Georgia"/>
                                    <w:sz w:val="18"/>
                                    <w:szCs w:val="18"/>
                                  </w:rPr>
                                  <w:t>Jennifer Griffith</w:t>
                                </w:r>
                              </w:hyperlink>
                              <w:r>
                                <w:rPr>
                                  <w:rFonts w:ascii="Georgia" w:hAnsi="Georgia"/>
                                  <w:color w:val="000000"/>
                                  <w:sz w:val="18"/>
                                  <w:szCs w:val="18"/>
                                </w:rPr>
                                <w:t xml:space="preserve">. </w:t>
                              </w:r>
                            </w:p>
                          </w:tc>
                        </w:tr>
                      </w:tbl>
                      <w:p w:rsidR="00B6466D" w:rsidRDefault="00B6466D">
                        <w:pPr>
                          <w:jc w:val="center"/>
                          <w:rPr>
                            <w:vanish/>
                          </w:rPr>
                        </w:pPr>
                        <w:bookmarkStart w:id="18" w:name="LETTER.BLOCK190"/>
                        <w:bookmarkEnd w:id="18"/>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Solid Waste &amp; Sustainable Materials Management (SMM) Program</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t xml:space="preserve">Pay-as-You-Throw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NEWMOA has partnered with several rural communities in Vermont and New Hampshire to promote "save money and reduce trash" or SMART programs. Communities across the U.S. that have implemented these programs, often called "pay-as-you-throw" (PAYT), "variable rate pricing," or "unit-based pricing" have found them to be an effective way to incentivize residents to reduce waste disposal and increase recycling. NEWMOA staff is working with targeted solid waste management authorities to educate municipal leaders, residents, solid waste haulers, facility operators, and recycling coordinators to promote the benefits of SMART. NEWMOA has developed </w:t>
                              </w:r>
                              <w:hyperlink r:id="rId29" w:tgtFrame="_blank" w:history="1">
                                <w:r>
                                  <w:rPr>
                                    <w:rStyle w:val="Hyperlink"/>
                                    <w:rFonts w:ascii="Georgia" w:hAnsi="Georgia"/>
                                    <w:sz w:val="18"/>
                                    <w:szCs w:val="18"/>
                                  </w:rPr>
                                  <w:t>case studies</w:t>
                                </w:r>
                              </w:hyperlink>
                              <w:r>
                                <w:rPr>
                                  <w:rFonts w:ascii="Georgia" w:hAnsi="Georgia"/>
                                  <w:color w:val="000000"/>
                                  <w:sz w:val="18"/>
                                  <w:szCs w:val="18"/>
                                </w:rPr>
                                <w:t xml:space="preserve"> and </w:t>
                              </w:r>
                              <w:hyperlink r:id="rId30" w:tgtFrame="_blank" w:history="1">
                                <w:r>
                                  <w:rPr>
                                    <w:rStyle w:val="Hyperlink"/>
                                    <w:rFonts w:ascii="Georgia" w:hAnsi="Georgia"/>
                                    <w:sz w:val="18"/>
                                    <w:szCs w:val="18"/>
                                  </w:rPr>
                                  <w:t>outreach materials</w:t>
                                </w:r>
                              </w:hyperlink>
                              <w:r>
                                <w:rPr>
                                  <w:rFonts w:ascii="Georgia" w:hAnsi="Georgia"/>
                                  <w:color w:val="000000"/>
                                  <w:sz w:val="18"/>
                                  <w:szCs w:val="18"/>
                                </w:rPr>
                                <w:t xml:space="preserve"> and will be conducting meetings and workshops with its partners over the summer.  This project is funded by a grant from the USDA.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t>Meeting @ EPA Region 2 on Sustainable Materials Management (SMM)</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On June 24, NEWMOA held a </w:t>
                              </w:r>
                              <w:hyperlink r:id="rId31" w:tgtFrame="_blank" w:history="1">
                                <w:r>
                                  <w:rPr>
                                    <w:rStyle w:val="Hyperlink"/>
                                    <w:rFonts w:ascii="Georgia" w:hAnsi="Georgia"/>
                                    <w:sz w:val="18"/>
                                    <w:szCs w:val="18"/>
                                  </w:rPr>
                                  <w:t>meeting</w:t>
                                </w:r>
                              </w:hyperlink>
                              <w:r>
                                <w:rPr>
                                  <w:rFonts w:ascii="Georgia" w:hAnsi="Georgia"/>
                                  <w:color w:val="000000"/>
                                  <w:sz w:val="18"/>
                                  <w:szCs w:val="18"/>
                                </w:rPr>
                                <w:t xml:space="preserve"> of the New York State Department of Environmental Conservation (NYS DEC), New Jersey Department of Environmental Protection (NJ DEP), and EPA Region 2 staffs on sustainable materials management and solid waste. The meeting focused on a wide range of topics, including:</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Food waste management and the Food Recovery Challenge</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Disaster debris planning</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E-waste</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Federal procurement of compost and recycled products </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Extended producer responsibility (EPR) programs</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State Data Measurement Sharing Program </w:t>
                              </w:r>
                            </w:p>
                            <w:p w:rsidR="00B6466D" w:rsidRDefault="00B6466D">
                              <w:pPr>
                                <w:numPr>
                                  <w:ilvl w:val="0"/>
                                  <w:numId w:val="11"/>
                                </w:numPr>
                                <w:spacing w:before="100" w:beforeAutospacing="1" w:after="100" w:afterAutospacing="1"/>
                                <w:rPr>
                                  <w:rFonts w:ascii="Georgia" w:hAnsi="Georgia"/>
                                  <w:color w:val="000000"/>
                                  <w:sz w:val="18"/>
                                  <w:szCs w:val="18"/>
                                </w:rPr>
                              </w:pPr>
                              <w:r>
                                <w:rPr>
                                  <w:rFonts w:ascii="Georgia" w:hAnsi="Georgia"/>
                                  <w:color w:val="000000"/>
                                  <w:sz w:val="18"/>
                                  <w:szCs w:val="18"/>
                                </w:rPr>
                                <w:t>Pay-as-you throw</w:t>
                              </w:r>
                            </w:p>
                          </w:tc>
                        </w:tr>
                      </w:tbl>
                      <w:p w:rsidR="00B6466D" w:rsidRDefault="00B6466D">
                        <w:pPr>
                          <w:jc w:val="center"/>
                          <w:rPr>
                            <w:vanish/>
                          </w:rPr>
                        </w:pPr>
                        <w:bookmarkStart w:id="19" w:name="LETTER.BLOCK128"/>
                        <w:bookmarkEnd w:id="19"/>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lastRenderedPageBreak/>
                                <w:t>Interstate Chemicals Clearinghouse (IC2)</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0" w:type="dxa"/>
                                <w:left w:w="120" w:type="dxa"/>
                                <w:bottom w:w="0" w:type="dxa"/>
                                <w:right w:w="120" w:type="dxa"/>
                              </w:tcMar>
                              <w:hideMark/>
                            </w:tcPr>
                            <w:p w:rsidR="00B6466D" w:rsidRDefault="00B6466D">
                              <w:pPr>
                                <w:jc w:val="center"/>
                                <w:rPr>
                                  <w:color w:val="000000"/>
                                  <w:sz w:val="22"/>
                                  <w:szCs w:val="22"/>
                                </w:rPr>
                              </w:pPr>
                              <w:r>
                                <w:rPr>
                                  <w:noProof/>
                                  <w:color w:val="000000"/>
                                  <w:sz w:val="22"/>
                                  <w:szCs w:val="22"/>
                                </w:rPr>
                                <w:drawing>
                                  <wp:inline distT="0" distB="0" distL="0" distR="0">
                                    <wp:extent cx="5334000" cy="1555750"/>
                                    <wp:effectExtent l="0" t="0" r="0" b="6350"/>
                                    <wp:docPr id="4" name="Picture 4" descr="http://ih.constantcontact.com/fs122/1111234994262/img/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h.constantcontact.com/fs122/1111234994262/img/7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0" cy="1555750"/>
                                            </a:xfrm>
                                            <a:prstGeom prst="rect">
                                              <a:avLst/>
                                            </a:prstGeom>
                                            <a:noFill/>
                                            <a:ln>
                                              <a:noFill/>
                                            </a:ln>
                                          </pic:spPr>
                                        </pic:pic>
                                      </a:graphicData>
                                    </a:graphic>
                                  </wp:inline>
                                </w:drawing>
                              </w:r>
                            </w:p>
                          </w:tc>
                        </w:tr>
                      </w:tbl>
                      <w:p w:rsidR="00B6466D" w:rsidRDefault="00B6466D">
                        <w:pPr>
                          <w:jc w:val="center"/>
                          <w:rPr>
                            <w:vanish/>
                          </w:rPr>
                        </w:pPr>
                        <w:bookmarkStart w:id="20" w:name="LETTER.BLOCK140"/>
                        <w:bookmarkEnd w:id="20"/>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The IC2 will be launching a new website - (</w:t>
                              </w:r>
                              <w:hyperlink r:id="rId33" w:tgtFrame="_blank" w:history="1">
                                <w:r>
                                  <w:rPr>
                                    <w:rStyle w:val="Hyperlink"/>
                                    <w:rFonts w:ascii="Georgia" w:hAnsi="Georgia"/>
                                    <w:sz w:val="18"/>
                                    <w:szCs w:val="18"/>
                                  </w:rPr>
                                  <w:t>http://theic2.org</w:t>
                                </w:r>
                              </w:hyperlink>
                              <w:r>
                                <w:rPr>
                                  <w:rFonts w:ascii="Georgia" w:hAnsi="Georgia"/>
                                  <w:color w:val="000000"/>
                                  <w:sz w:val="18"/>
                                  <w:szCs w:val="18"/>
                                </w:rPr>
                                <w:t>) in the near future. The site features an updated appearance and makes it much easier for visitors to find IC2's signature online databases, including:</w:t>
                              </w:r>
                            </w:p>
                            <w:p w:rsidR="00B6466D" w:rsidRDefault="00B6466D">
                              <w:pPr>
                                <w:numPr>
                                  <w:ilvl w:val="0"/>
                                  <w:numId w:val="12"/>
                                </w:numPr>
                                <w:spacing w:before="100" w:beforeAutospacing="1" w:after="100" w:afterAutospacing="1"/>
                                <w:rPr>
                                  <w:rFonts w:ascii="Georgia" w:hAnsi="Georgia"/>
                                  <w:color w:val="000000"/>
                                  <w:sz w:val="18"/>
                                  <w:szCs w:val="18"/>
                                </w:rPr>
                              </w:pPr>
                              <w:r>
                                <w:rPr>
                                  <w:rFonts w:ascii="Georgia" w:hAnsi="Georgia"/>
                                  <w:color w:val="000000"/>
                                  <w:sz w:val="18"/>
                                  <w:szCs w:val="18"/>
                                </w:rPr>
                                <w:t>Priority Chemicals, which provides a searchable database that combines state lists of priority chemicals so users can find chemicals on one or more state lists, identify source lists for the chemicals, identify hazards and toxicity characteristics associated with the chemicals, and links to additional information on the chemicals</w:t>
                              </w:r>
                            </w:p>
                            <w:p w:rsidR="00B6466D" w:rsidRDefault="00B6466D">
                              <w:pPr>
                                <w:numPr>
                                  <w:ilvl w:val="0"/>
                                  <w:numId w:val="12"/>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Chemical Hazard Assessments, which enables users to search for </w:t>
                              </w:r>
                              <w:hyperlink r:id="rId34" w:tgtFrame="_blank" w:history="1">
                                <w:proofErr w:type="spellStart"/>
                                <w:r>
                                  <w:rPr>
                                    <w:rStyle w:val="Hyperlink"/>
                                    <w:rFonts w:ascii="Georgia" w:hAnsi="Georgia"/>
                                    <w:sz w:val="18"/>
                                    <w:szCs w:val="18"/>
                                  </w:rPr>
                                  <w:t>GreenScreen</w:t>
                                </w:r>
                                <w:proofErr w:type="spellEnd"/>
                                <w:r>
                                  <w:rPr>
                                    <w:rStyle w:val="Hyperlink"/>
                                    <w:rFonts w:ascii="Georgia" w:hAnsi="Georgia"/>
                                    <w:sz w:val="18"/>
                                    <w:szCs w:val="18"/>
                                  </w:rPr>
                                  <w:t>®</w:t>
                                </w:r>
                              </w:hyperlink>
                              <w:r>
                                <w:rPr>
                                  <w:rFonts w:ascii="Georgia" w:hAnsi="Georgia"/>
                                  <w:color w:val="000000"/>
                                  <w:sz w:val="18"/>
                                  <w:szCs w:val="18"/>
                                </w:rPr>
                                <w:t xml:space="preserve"> and Quick Chemical Assessment Tool (QCAT) assessments to promote awareness of hazard assessments conducted on chemicals of high concern, facilitate transparency and discussion, and reduce duplication of effort</w:t>
                              </w:r>
                            </w:p>
                            <w:p w:rsidR="00B6466D" w:rsidRDefault="00B6466D">
                              <w:pPr>
                                <w:numPr>
                                  <w:ilvl w:val="0"/>
                                  <w:numId w:val="12"/>
                                </w:numPr>
                                <w:spacing w:before="100" w:beforeAutospacing="1" w:after="100" w:afterAutospacing="1"/>
                                <w:rPr>
                                  <w:rFonts w:ascii="Georgia" w:hAnsi="Georgia"/>
                                  <w:color w:val="000000"/>
                                  <w:sz w:val="18"/>
                                  <w:szCs w:val="18"/>
                                </w:rPr>
                              </w:pPr>
                              <w:r>
                                <w:rPr>
                                  <w:rFonts w:ascii="Georgia" w:hAnsi="Georgia"/>
                                  <w:color w:val="000000"/>
                                  <w:sz w:val="18"/>
                                  <w:szCs w:val="18"/>
                                </w:rPr>
                                <w:t>State Chemicals Policy, which enables users to search for passed and pending state-level chemicals legislation by state, region, status (e.g., enacted, proposed, and failed), policy category (e.g., pollution prevention, single chemical restriction), chemical, and product type (e.g., children's products, cleaning products).</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The site also features the </w:t>
                              </w:r>
                              <w:hyperlink r:id="rId35" w:tgtFrame="_blank" w:history="1">
                                <w:r>
                                  <w:rPr>
                                    <w:rStyle w:val="Hyperlink"/>
                                    <w:rFonts w:ascii="Georgia" w:hAnsi="Georgia"/>
                                    <w:i/>
                                    <w:iCs/>
                                    <w:sz w:val="18"/>
                                    <w:szCs w:val="18"/>
                                  </w:rPr>
                                  <w:t>IC2 Alternatives Assessment Guide (Guide)</w:t>
                                </w:r>
                              </w:hyperlink>
                              <w:r>
                                <w:rPr>
                                  <w:rFonts w:ascii="Georgia" w:hAnsi="Georgia"/>
                                  <w:color w:val="000000"/>
                                  <w:sz w:val="18"/>
                                  <w:szCs w:val="18"/>
                                </w:rPr>
                                <w:t xml:space="preserve"> and Response-to-Comment (RTC) documents. The Guide includes three ways in which an AA can be conducted.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Check out the new site and send us your comments and suggestions.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t>Additions to the CHAD</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IC2 recently added 18 chemical profiles to the Chemical Hazard Assessment Database. These include:</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Antimony oxide (aka antimony trioxide; CASRN 1309-64-4)</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Aluminum hydroxide (CASRN 21645-51-2)</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Magnesium hydroxide (CASRN 1309-42-8)</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Phosphoric acid, mixed esters with [1,1'-bisphenyl-4,4'-diol] and phenol (aka BPBP; CASRN 1003300-73-9)</w:t>
                              </w:r>
                            </w:p>
                            <w:p w:rsidR="00B6466D" w:rsidRDefault="00B6466D">
                              <w:pPr>
                                <w:numPr>
                                  <w:ilvl w:val="0"/>
                                  <w:numId w:val="13"/>
                                </w:numPr>
                                <w:spacing w:before="100" w:beforeAutospacing="1" w:after="100" w:afterAutospacing="1"/>
                                <w:rPr>
                                  <w:rFonts w:ascii="Georgia" w:hAnsi="Georgia"/>
                                  <w:color w:val="000000"/>
                                  <w:sz w:val="18"/>
                                  <w:szCs w:val="18"/>
                                </w:rPr>
                              </w:pPr>
                              <w:proofErr w:type="spellStart"/>
                              <w:r>
                                <w:rPr>
                                  <w:rFonts w:ascii="Georgia" w:hAnsi="Georgia"/>
                                  <w:color w:val="000000"/>
                                  <w:sz w:val="18"/>
                                  <w:szCs w:val="18"/>
                                </w:rPr>
                                <w:t>Bisphenol</w:t>
                              </w:r>
                              <w:proofErr w:type="spellEnd"/>
                              <w:r>
                                <w:rPr>
                                  <w:rFonts w:ascii="Georgia" w:hAnsi="Georgia"/>
                                  <w:color w:val="000000"/>
                                  <w:sz w:val="18"/>
                                  <w:szCs w:val="18"/>
                                </w:rPr>
                                <w:t xml:space="preserve"> A </w:t>
                              </w:r>
                              <w:proofErr w:type="spellStart"/>
                              <w:r>
                                <w:rPr>
                                  <w:rFonts w:ascii="Georgia" w:hAnsi="Georgia"/>
                                  <w:color w:val="000000"/>
                                  <w:sz w:val="18"/>
                                  <w:szCs w:val="18"/>
                                </w:rPr>
                                <w:t>bis</w:t>
                              </w:r>
                              <w:proofErr w:type="spellEnd"/>
                              <w:r>
                                <w:rPr>
                                  <w:rFonts w:ascii="Georgia" w:hAnsi="Georgia"/>
                                  <w:color w:val="000000"/>
                                  <w:sz w:val="18"/>
                                  <w:szCs w:val="18"/>
                                </w:rPr>
                                <w:t>-(</w:t>
                              </w:r>
                              <w:proofErr w:type="spellStart"/>
                              <w:r>
                                <w:rPr>
                                  <w:rFonts w:ascii="Georgia" w:hAnsi="Georgia"/>
                                  <w:color w:val="000000"/>
                                  <w:sz w:val="18"/>
                                  <w:szCs w:val="18"/>
                                </w:rPr>
                                <w:t>diphenyl</w:t>
                              </w:r>
                              <w:proofErr w:type="spellEnd"/>
                              <w:r>
                                <w:rPr>
                                  <w:rFonts w:ascii="Georgia" w:hAnsi="Georgia"/>
                                  <w:color w:val="000000"/>
                                  <w:sz w:val="18"/>
                                  <w:szCs w:val="18"/>
                                </w:rPr>
                                <w:t xml:space="preserve"> phosphate) (CASRN 181028-79-5 and 5945-33-5)</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Melamine </w:t>
                              </w:r>
                              <w:proofErr w:type="spellStart"/>
                              <w:r>
                                <w:rPr>
                                  <w:rFonts w:ascii="Georgia" w:hAnsi="Georgia"/>
                                  <w:color w:val="000000"/>
                                  <w:sz w:val="18"/>
                                  <w:szCs w:val="18"/>
                                </w:rPr>
                                <w:t>cyanurate</w:t>
                              </w:r>
                              <w:proofErr w:type="spellEnd"/>
                              <w:r>
                                <w:rPr>
                                  <w:rFonts w:ascii="Georgia" w:hAnsi="Georgia"/>
                                  <w:color w:val="000000"/>
                                  <w:sz w:val="18"/>
                                  <w:szCs w:val="18"/>
                                </w:rPr>
                                <w:t xml:space="preserve"> (CASRN 37640-57-6)</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Aluminum </w:t>
                              </w:r>
                              <w:proofErr w:type="spellStart"/>
                              <w:r>
                                <w:rPr>
                                  <w:rFonts w:ascii="Georgia" w:hAnsi="Georgia"/>
                                  <w:color w:val="000000"/>
                                  <w:sz w:val="18"/>
                                  <w:szCs w:val="18"/>
                                </w:rPr>
                                <w:t>diethylphosphinate</w:t>
                              </w:r>
                              <w:proofErr w:type="spellEnd"/>
                              <w:r>
                                <w:rPr>
                                  <w:rFonts w:ascii="Georgia" w:hAnsi="Georgia"/>
                                  <w:color w:val="000000"/>
                                  <w:sz w:val="18"/>
                                  <w:szCs w:val="18"/>
                                </w:rPr>
                                <w:t xml:space="preserve"> (CASRN 225789-38-8)</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Resorcinol </w:t>
                              </w:r>
                              <w:proofErr w:type="spellStart"/>
                              <w:r>
                                <w:rPr>
                                  <w:rFonts w:ascii="Georgia" w:hAnsi="Georgia"/>
                                  <w:color w:val="000000"/>
                                  <w:sz w:val="18"/>
                                  <w:szCs w:val="18"/>
                                </w:rPr>
                                <w:t>bis-diphenylphosphate</w:t>
                              </w:r>
                              <w:proofErr w:type="spellEnd"/>
                              <w:r>
                                <w:rPr>
                                  <w:rFonts w:ascii="Georgia" w:hAnsi="Georgia"/>
                                  <w:color w:val="000000"/>
                                  <w:sz w:val="18"/>
                                  <w:szCs w:val="18"/>
                                </w:rPr>
                                <w:t xml:space="preserve"> (CASRN 125997-21-9)</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Substituted amine phosphate mixture (CASRN 66034-17-1)</w:t>
                              </w:r>
                            </w:p>
                            <w:p w:rsidR="00B6466D" w:rsidRDefault="00B6466D">
                              <w:pPr>
                                <w:numPr>
                                  <w:ilvl w:val="0"/>
                                  <w:numId w:val="13"/>
                                </w:numPr>
                                <w:spacing w:before="100" w:beforeAutospacing="1" w:after="100" w:afterAutospacing="1"/>
                                <w:rPr>
                                  <w:rFonts w:ascii="Georgia" w:hAnsi="Georgia"/>
                                  <w:color w:val="000000"/>
                                  <w:sz w:val="18"/>
                                  <w:szCs w:val="18"/>
                                </w:rPr>
                              </w:pPr>
                              <w:proofErr w:type="spellStart"/>
                              <w:r>
                                <w:rPr>
                                  <w:rFonts w:ascii="Georgia" w:hAnsi="Georgia"/>
                                  <w:color w:val="000000"/>
                                  <w:sz w:val="18"/>
                                  <w:szCs w:val="18"/>
                                </w:rPr>
                                <w:t>Triphenyl</w:t>
                              </w:r>
                              <w:proofErr w:type="spellEnd"/>
                              <w:r>
                                <w:rPr>
                                  <w:rFonts w:ascii="Georgia" w:hAnsi="Georgia"/>
                                  <w:color w:val="000000"/>
                                  <w:sz w:val="18"/>
                                  <w:szCs w:val="18"/>
                                </w:rPr>
                                <w:t xml:space="preserve"> phosphate (CASRN 115-86-6)</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Zinc borate (CASRN #1332-07-6 and 138265-88-0)</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Melamine polyphosphate (CASRN 15541-60-3)</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N-</w:t>
                              </w:r>
                              <w:proofErr w:type="spellStart"/>
                              <w:r>
                                <w:rPr>
                                  <w:rFonts w:ascii="Georgia" w:hAnsi="Georgia"/>
                                  <w:color w:val="000000"/>
                                  <w:sz w:val="18"/>
                                  <w:szCs w:val="18"/>
                                </w:rPr>
                                <w:t>alkoxy</w:t>
                              </w:r>
                              <w:proofErr w:type="spellEnd"/>
                              <w:r>
                                <w:rPr>
                                  <w:rFonts w:ascii="Georgia" w:hAnsi="Georgia"/>
                                  <w:color w:val="000000"/>
                                  <w:sz w:val="18"/>
                                  <w:szCs w:val="18"/>
                                </w:rPr>
                                <w:t xml:space="preserve"> hindered amine reaction products (CASRN 191680-81-6)</w:t>
                              </w:r>
                            </w:p>
                            <w:p w:rsidR="00B6466D" w:rsidRDefault="00B6466D">
                              <w:pPr>
                                <w:numPr>
                                  <w:ilvl w:val="0"/>
                                  <w:numId w:val="13"/>
                                </w:numPr>
                                <w:spacing w:before="100" w:beforeAutospacing="1" w:after="100" w:afterAutospacing="1"/>
                                <w:rPr>
                                  <w:rFonts w:ascii="Georgia" w:hAnsi="Georgia"/>
                                  <w:color w:val="000000"/>
                                  <w:sz w:val="18"/>
                                  <w:szCs w:val="18"/>
                                </w:rPr>
                              </w:pPr>
                              <w:proofErr w:type="spellStart"/>
                              <w:r>
                                <w:rPr>
                                  <w:rFonts w:ascii="Georgia" w:hAnsi="Georgia"/>
                                  <w:color w:val="000000"/>
                                  <w:sz w:val="18"/>
                                  <w:szCs w:val="18"/>
                                </w:rPr>
                                <w:t>Phosphonate</w:t>
                              </w:r>
                              <w:proofErr w:type="spellEnd"/>
                              <w:r>
                                <w:rPr>
                                  <w:rFonts w:ascii="Georgia" w:hAnsi="Georgia"/>
                                  <w:color w:val="000000"/>
                                  <w:sz w:val="18"/>
                                  <w:szCs w:val="18"/>
                                </w:rPr>
                                <w:t xml:space="preserve"> oligomer (CASRN 68664-06-2)</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Poly[</w:t>
                              </w:r>
                              <w:proofErr w:type="spellStart"/>
                              <w:r>
                                <w:rPr>
                                  <w:rFonts w:ascii="Georgia" w:hAnsi="Georgia"/>
                                  <w:color w:val="000000"/>
                                  <w:sz w:val="18"/>
                                  <w:szCs w:val="18"/>
                                </w:rPr>
                                <w:t>phosphonate</w:t>
                              </w:r>
                              <w:proofErr w:type="spellEnd"/>
                              <w:r>
                                <w:rPr>
                                  <w:rFonts w:ascii="Georgia" w:hAnsi="Georgia"/>
                                  <w:color w:val="000000"/>
                                  <w:sz w:val="18"/>
                                  <w:szCs w:val="18"/>
                                </w:rPr>
                                <w:t>-co-carbonate] (CASRN 77226-90-5)</w:t>
                              </w:r>
                            </w:p>
                            <w:p w:rsidR="00B6466D" w:rsidRDefault="00B6466D">
                              <w:pPr>
                                <w:numPr>
                                  <w:ilvl w:val="0"/>
                                  <w:numId w:val="13"/>
                                </w:numPr>
                                <w:spacing w:before="100" w:beforeAutospacing="1" w:after="100" w:afterAutospacing="1"/>
                                <w:rPr>
                                  <w:rFonts w:ascii="Georgia" w:hAnsi="Georgia"/>
                                  <w:color w:val="000000"/>
                                  <w:sz w:val="18"/>
                                  <w:szCs w:val="18"/>
                                </w:rPr>
                              </w:pPr>
                              <w:proofErr w:type="spellStart"/>
                              <w:r>
                                <w:rPr>
                                  <w:rFonts w:ascii="Georgia" w:hAnsi="Georgia"/>
                                  <w:color w:val="000000"/>
                                  <w:sz w:val="18"/>
                                  <w:szCs w:val="18"/>
                                </w:rPr>
                                <w:t>Polyphosphonate</w:t>
                              </w:r>
                              <w:proofErr w:type="spellEnd"/>
                              <w:r>
                                <w:rPr>
                                  <w:rFonts w:ascii="Georgia" w:hAnsi="Georgia"/>
                                  <w:color w:val="000000"/>
                                  <w:sz w:val="18"/>
                                  <w:szCs w:val="18"/>
                                </w:rPr>
                                <w:t xml:space="preserve"> (CASRN 68664-06-2)</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Ammonium polyphosphate (CASRN 68333-79-9)</w:t>
                              </w:r>
                            </w:p>
                            <w:p w:rsidR="00B6466D" w:rsidRDefault="00B6466D">
                              <w:pPr>
                                <w:numPr>
                                  <w:ilvl w:val="0"/>
                                  <w:numId w:val="13"/>
                                </w:numPr>
                                <w:spacing w:before="100" w:beforeAutospacing="1" w:after="100" w:afterAutospacing="1"/>
                                <w:rPr>
                                  <w:rFonts w:ascii="Georgia" w:hAnsi="Georgia"/>
                                  <w:color w:val="000000"/>
                                  <w:sz w:val="18"/>
                                  <w:szCs w:val="18"/>
                                </w:rPr>
                              </w:pPr>
                              <w:r>
                                <w:rPr>
                                  <w:rFonts w:ascii="Georgia" w:hAnsi="Georgia"/>
                                  <w:color w:val="000000"/>
                                  <w:sz w:val="18"/>
                                  <w:szCs w:val="18"/>
                                </w:rPr>
                                <w:t>Red phosphorus (CASRN 7723-14-0)</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IC2 thanks Supporting Member, </w:t>
                              </w:r>
                              <w:hyperlink r:id="rId36" w:tgtFrame="_blank" w:history="1">
                                <w:r>
                                  <w:rPr>
                                    <w:rStyle w:val="Hyperlink"/>
                                    <w:rFonts w:ascii="Georgia" w:hAnsi="Georgia"/>
                                    <w:sz w:val="18"/>
                                    <w:szCs w:val="18"/>
                                  </w:rPr>
                                  <w:t>Clean Production Action</w:t>
                                </w:r>
                              </w:hyperlink>
                              <w:r>
                                <w:rPr>
                                  <w:rFonts w:ascii="Georgia" w:hAnsi="Georgia"/>
                                  <w:color w:val="000000"/>
                                  <w:sz w:val="18"/>
                                  <w:szCs w:val="18"/>
                                </w:rPr>
                                <w:t xml:space="preserve"> and Alex Stone of the Washington Department of Ecology for translating </w:t>
                              </w:r>
                              <w:proofErr w:type="spellStart"/>
                              <w:r>
                                <w:rPr>
                                  <w:rFonts w:ascii="Georgia" w:hAnsi="Georgia"/>
                                  <w:color w:val="000000"/>
                                  <w:sz w:val="18"/>
                                  <w:szCs w:val="18"/>
                                </w:rPr>
                                <w:t>DfE's</w:t>
                              </w:r>
                              <w:proofErr w:type="spellEnd"/>
                              <w:r>
                                <w:rPr>
                                  <w:rFonts w:ascii="Georgia" w:hAnsi="Georgia"/>
                                  <w:color w:val="000000"/>
                                  <w:sz w:val="18"/>
                                  <w:szCs w:val="18"/>
                                </w:rPr>
                                <w:t xml:space="preserve"> flame retardant hazard assessments to </w:t>
                              </w:r>
                              <w:proofErr w:type="spellStart"/>
                              <w:r>
                                <w:rPr>
                                  <w:rFonts w:ascii="Georgia" w:hAnsi="Georgia"/>
                                  <w:color w:val="000000"/>
                                  <w:sz w:val="18"/>
                                  <w:szCs w:val="18"/>
                                </w:rPr>
                                <w:t>GreenScreen</w:t>
                              </w:r>
                              <w:proofErr w:type="spellEnd"/>
                              <w:r>
                                <w:rPr>
                                  <w:rFonts w:ascii="Georgia" w:hAnsi="Georgia"/>
                                  <w:color w:val="000000"/>
                                  <w:sz w:val="18"/>
                                  <w:szCs w:val="18"/>
                                </w:rPr>
                                <w:t>® assessments and Ecology for funding this important work.</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pStyle w:val="NormalWeb"/>
                                <w:spacing w:before="0" w:beforeAutospacing="0" w:after="0" w:afterAutospacing="0"/>
                                <w:rPr>
                                  <w:rFonts w:ascii="Georgia" w:hAnsi="Georgia"/>
                                  <w:color w:val="000000"/>
                                  <w:sz w:val="18"/>
                                  <w:szCs w:val="18"/>
                                </w:rPr>
                              </w:pPr>
                            </w:p>
                            <w:p w:rsidR="00B6466D" w:rsidRDefault="00B6466D">
                              <w:pPr>
                                <w:pStyle w:val="NormalWeb"/>
                                <w:spacing w:before="0" w:beforeAutospacing="0" w:after="0" w:afterAutospacing="0"/>
                                <w:rPr>
                                  <w:rFonts w:ascii="Georgia" w:hAnsi="Georgia"/>
                                  <w:color w:val="000000"/>
                                  <w:sz w:val="18"/>
                                  <w:szCs w:val="18"/>
                                </w:rPr>
                              </w:pPr>
                            </w:p>
                            <w:p w:rsidR="00B6466D" w:rsidRDefault="00B6466D">
                              <w:pPr>
                                <w:pStyle w:val="NormalWeb"/>
                                <w:spacing w:before="0" w:beforeAutospacing="0" w:after="0" w:afterAutospacing="0"/>
                                <w:rPr>
                                  <w:rFonts w:ascii="Georgia" w:hAnsi="Georgia"/>
                                  <w:color w:val="000000"/>
                                  <w:sz w:val="18"/>
                                  <w:szCs w:val="18"/>
                                </w:rPr>
                              </w:pPr>
                              <w:bookmarkStart w:id="21" w:name="_GoBack"/>
                              <w:bookmarkEnd w:id="21"/>
                            </w:p>
                            <w:p w:rsidR="00B6466D" w:rsidRDefault="00B6466D">
                              <w:pPr>
                                <w:pStyle w:val="NormalWeb"/>
                                <w:spacing w:before="0" w:beforeAutospacing="0" w:after="0" w:afterAutospacing="0"/>
                                <w:rPr>
                                  <w:rFonts w:ascii="Georgia" w:hAnsi="Georgia"/>
                                  <w:color w:val="29518E"/>
                                  <w:sz w:val="18"/>
                                  <w:szCs w:val="18"/>
                                </w:rPr>
                              </w:pPr>
                              <w:r>
                                <w:rPr>
                                  <w:rStyle w:val="Strong"/>
                                  <w:rFonts w:ascii="Georgia" w:hAnsi="Georgia"/>
                                  <w:color w:val="29518E"/>
                                  <w:sz w:val="18"/>
                                  <w:szCs w:val="18"/>
                                </w:rPr>
                                <w:lastRenderedPageBreak/>
                                <w:t>New Members</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IC2 welcomes its newest Member, the Delaware Department of Health and Human Services. The Department joined IC2 to take advantage of its information and networking opportunities. IC2 is excited to be working with the Department. IC2 also welcomes its newest Supporting Member, Office Depot. </w:t>
                              </w:r>
                            </w:p>
                          </w:tc>
                        </w:tr>
                      </w:tbl>
                      <w:p w:rsidR="00B6466D" w:rsidRDefault="00B6466D">
                        <w:pPr>
                          <w:jc w:val="center"/>
                          <w:rPr>
                            <w:vanish/>
                          </w:rPr>
                        </w:pPr>
                        <w:bookmarkStart w:id="22" w:name="LETTER.BLOCK89"/>
                        <w:bookmarkEnd w:id="22"/>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Interstate Mercury Education &amp; Reduction Clearinghouse (IMERC)</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0" w:type="dxa"/>
                                <w:left w:w="120" w:type="dxa"/>
                                <w:bottom w:w="0" w:type="dxa"/>
                                <w:right w:w="120" w:type="dxa"/>
                              </w:tcMar>
                              <w:hideMark/>
                            </w:tcPr>
                            <w:p w:rsidR="00B6466D" w:rsidRDefault="00B6466D">
                              <w:pPr>
                                <w:jc w:val="center"/>
                                <w:rPr>
                                  <w:color w:val="000000"/>
                                  <w:sz w:val="22"/>
                                  <w:szCs w:val="22"/>
                                </w:rPr>
                              </w:pPr>
                              <w:r>
                                <w:rPr>
                                  <w:noProof/>
                                  <w:color w:val="000000"/>
                                  <w:sz w:val="22"/>
                                  <w:szCs w:val="22"/>
                                </w:rPr>
                                <w:drawing>
                                  <wp:inline distT="0" distB="0" distL="0" distR="0">
                                    <wp:extent cx="3371850" cy="952500"/>
                                    <wp:effectExtent l="0" t="0" r="0" b="0"/>
                                    <wp:docPr id="3" name="Picture 3" descr="http://ih.constantcontact.com/fs122/1111234994262/img/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h.constantcontact.com/fs122/1111234994262/img/7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71850" cy="952500"/>
                                            </a:xfrm>
                                            <a:prstGeom prst="rect">
                                              <a:avLst/>
                                            </a:prstGeom>
                                            <a:noFill/>
                                            <a:ln>
                                              <a:noFill/>
                                            </a:ln>
                                          </pic:spPr>
                                        </pic:pic>
                                      </a:graphicData>
                                    </a:graphic>
                                  </wp:inline>
                                </w:drawing>
                              </w:r>
                            </w:p>
                          </w:tc>
                        </w:tr>
                      </w:tbl>
                      <w:p w:rsidR="00B6466D" w:rsidRDefault="00B6466D">
                        <w:pPr>
                          <w:jc w:val="center"/>
                          <w:rPr>
                            <w:vanish/>
                          </w:rPr>
                        </w:pPr>
                        <w:bookmarkStart w:id="23" w:name="LETTER.BLOCK132"/>
                        <w:bookmarkEnd w:id="23"/>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hyperlink r:id="rId38" w:tgtFrame="_blank" w:history="1">
                                <w:r>
                                  <w:rPr>
                                    <w:rStyle w:val="Hyperlink"/>
                                    <w:rFonts w:ascii="Georgia" w:hAnsi="Georgia"/>
                                    <w:sz w:val="18"/>
                                    <w:szCs w:val="18"/>
                                  </w:rPr>
                                  <w:t>IMERC</w:t>
                                </w:r>
                              </w:hyperlink>
                              <w:r>
                                <w:rPr>
                                  <w:rFonts w:ascii="Georgia" w:hAnsi="Georgia"/>
                                  <w:color w:val="000000"/>
                                  <w:sz w:val="18"/>
                                  <w:szCs w:val="18"/>
                                </w:rPr>
                                <w:t xml:space="preserve"> has been receiving a steady stream of submissions of 2013 Triennial notification forms through its </w:t>
                              </w:r>
                              <w:hyperlink r:id="rId39" w:tgtFrame="_blank" w:history="1">
                                <w:r>
                                  <w:rPr>
                                    <w:rStyle w:val="Hyperlink"/>
                                    <w:rFonts w:ascii="Georgia" w:hAnsi="Georgia"/>
                                    <w:sz w:val="18"/>
                                    <w:szCs w:val="18"/>
                                  </w:rPr>
                                  <w:t>e-filing system</w:t>
                                </w:r>
                              </w:hyperlink>
                              <w:r>
                                <w:rPr>
                                  <w:rFonts w:ascii="Georgia" w:hAnsi="Georgia"/>
                                  <w:color w:val="000000"/>
                                  <w:sz w:val="18"/>
                                  <w:szCs w:val="18"/>
                                </w:rPr>
                                <w:t xml:space="preserve"> from manufacturers and distributors of mercury-added products. Notification through the system enables firms to comply with the Mercury-added Product Notification requirements of CT, LA, ME, MA, NH, NY, RI, and VT. Reporting is mandatory for any company that sold or distributed mercury-added products into the states listed above during calendar year 2013. The reporting window was January through April 2014. </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w:t>
                              </w:r>
                            </w:p>
                            <w:p w:rsidR="00B6466D" w:rsidRDefault="00B6466D">
                              <w:pPr>
                                <w:rPr>
                                  <w:rFonts w:ascii="Georgia" w:hAnsi="Georgia"/>
                                  <w:color w:val="000000"/>
                                  <w:sz w:val="18"/>
                                  <w:szCs w:val="18"/>
                                </w:rPr>
                              </w:pPr>
                              <w:r>
                                <w:rPr>
                                  <w:rFonts w:ascii="Georgia" w:hAnsi="Georgia"/>
                                  <w:color w:val="000000"/>
                                  <w:sz w:val="18"/>
                                  <w:szCs w:val="18"/>
                                </w:rPr>
                                <w:t>IMERC has developed a five-year Strategic Plan that was approved earlier this month.</w:t>
                              </w:r>
                            </w:p>
                          </w:tc>
                        </w:tr>
                      </w:tbl>
                      <w:p w:rsidR="00B6466D" w:rsidRDefault="00B6466D">
                        <w:pPr>
                          <w:jc w:val="center"/>
                          <w:rPr>
                            <w:vanish/>
                          </w:rPr>
                        </w:pPr>
                        <w:bookmarkStart w:id="24" w:name="LETTER.BLOCK95"/>
                        <w:bookmarkEnd w:id="24"/>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Summit on Lean &amp; Process Improvement for Environmental Agencies</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With a small amount of seed funding from CT DEEP, NH DES, NYS DEC, and VT DEC, NEWMOA held a </w:t>
                              </w:r>
                              <w:hyperlink r:id="rId40" w:tgtFrame="_blank" w:history="1">
                                <w:r>
                                  <w:rPr>
                                    <w:rStyle w:val="Hyperlink"/>
                                    <w:rFonts w:ascii="Georgia" w:hAnsi="Georgia"/>
                                    <w:sz w:val="18"/>
                                    <w:szCs w:val="18"/>
                                  </w:rPr>
                                  <w:t>"Summit on Lean &amp; Process Improvement for Environmental Agencies in the Northeast"</w:t>
                                </w:r>
                              </w:hyperlink>
                              <w:r>
                                <w:rPr>
                                  <w:rFonts w:ascii="Georgia" w:hAnsi="Georgia"/>
                                  <w:color w:val="000000"/>
                                  <w:sz w:val="18"/>
                                  <w:szCs w:val="18"/>
                                </w:rPr>
                                <w:t xml:space="preserve"> on May 28, 2014 at the Connecticut Department of Energy and Environmental Protection (CT DEEP) Offices in Hartford, CT. The New England Interstate Water Pollution Control Commission (NEIWPCC) and the Northeast States for Coordinated Air Use Management (NESCAUM) co-sponsored the event. The Summit:</w:t>
                              </w:r>
                            </w:p>
                            <w:p w:rsidR="00B6466D" w:rsidRDefault="00B6466D">
                              <w:pPr>
                                <w:numPr>
                                  <w:ilvl w:val="0"/>
                                  <w:numId w:val="14"/>
                                </w:numPr>
                                <w:spacing w:before="100" w:beforeAutospacing="1" w:after="100" w:afterAutospacing="1"/>
                                <w:rPr>
                                  <w:rFonts w:ascii="Georgia" w:hAnsi="Georgia"/>
                                  <w:color w:val="000000"/>
                                  <w:sz w:val="18"/>
                                  <w:szCs w:val="18"/>
                                </w:rPr>
                              </w:pPr>
                              <w:r>
                                <w:rPr>
                                  <w:rFonts w:ascii="Georgia" w:hAnsi="Georgia"/>
                                  <w:color w:val="000000"/>
                                  <w:sz w:val="18"/>
                                  <w:szCs w:val="18"/>
                                </w:rPr>
                                <w:t>Provided a forum for exchanging success stories, results, tools, and information</w:t>
                              </w:r>
                            </w:p>
                            <w:p w:rsidR="00B6466D" w:rsidRDefault="00B6466D">
                              <w:pPr>
                                <w:numPr>
                                  <w:ilvl w:val="0"/>
                                  <w:numId w:val="1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Facilitated sharing of projects that are improving performance and delivering value </w:t>
                              </w:r>
                            </w:p>
                            <w:p w:rsidR="00B6466D" w:rsidRDefault="00B6466D">
                              <w:pPr>
                                <w:numPr>
                                  <w:ilvl w:val="0"/>
                                  <w:numId w:val="14"/>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Identified opportunities for coordination and collaboration </w:t>
                              </w:r>
                            </w:p>
                            <w:p w:rsidR="00B6466D" w:rsidRDefault="00B6466D">
                              <w:pPr>
                                <w:rPr>
                                  <w:rFonts w:ascii="Georgia" w:hAnsi="Georgia"/>
                                  <w:color w:val="000000"/>
                                  <w:sz w:val="18"/>
                                  <w:szCs w:val="18"/>
                                </w:rPr>
                              </w:pPr>
                              <w:r>
                                <w:rPr>
                                  <w:rFonts w:ascii="Georgia" w:hAnsi="Georgia"/>
                                  <w:color w:val="000000"/>
                                  <w:sz w:val="18"/>
                                  <w:szCs w:val="18"/>
                                </w:rPr>
                                <w:t xml:space="preserve">Participants included northeast state and federal environmental and related agency managers, staff involved with and interested in </w:t>
                              </w:r>
                              <w:hyperlink r:id="rId41" w:tgtFrame="_blank" w:history="1">
                                <w:r>
                                  <w:rPr>
                                    <w:rStyle w:val="Hyperlink"/>
                                    <w:rFonts w:ascii="Georgia" w:hAnsi="Georgia"/>
                                    <w:sz w:val="18"/>
                                    <w:szCs w:val="18"/>
                                  </w:rPr>
                                  <w:t>Lean</w:t>
                                </w:r>
                              </w:hyperlink>
                              <w:r>
                                <w:rPr>
                                  <w:rFonts w:ascii="Georgia" w:hAnsi="Georgia"/>
                                  <w:color w:val="000000"/>
                                  <w:sz w:val="18"/>
                                  <w:szCs w:val="18"/>
                                </w:rPr>
                                <w:t xml:space="preserve"> and other approaches to improving efficiency, and various interstate organizations.</w:t>
                              </w:r>
                            </w:p>
                          </w:tc>
                        </w:tr>
                      </w:tbl>
                      <w:p w:rsidR="00B6466D" w:rsidRDefault="00B6466D">
                        <w:pPr>
                          <w:jc w:val="center"/>
                          <w:rPr>
                            <w:vanish/>
                          </w:rPr>
                        </w:pPr>
                        <w:bookmarkStart w:id="25" w:name="LETTER.BLOCK135"/>
                        <w:bookmarkEnd w:id="25"/>
                      </w:p>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22"/>
                                  <w:szCs w:val="22"/>
                                </w:rPr>
                              </w:pPr>
                              <w:r>
                                <w:rPr>
                                  <w:rFonts w:ascii="Tahoma" w:hAnsi="Tahoma" w:cs="Tahoma"/>
                                  <w:b/>
                                  <w:bCs/>
                                  <w:color w:val="FFFFFF"/>
                                  <w:sz w:val="22"/>
                                  <w:szCs w:val="22"/>
                                </w:rPr>
                                <w:t>Sustainable Compliance Results Workgroup</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NEWMOA recently held a second conference call of its newly formed " </w:t>
                              </w:r>
                              <w:hyperlink r:id="rId42" w:tgtFrame="_blank" w:history="1">
                                <w:r>
                                  <w:rPr>
                                    <w:rStyle w:val="Hyperlink"/>
                                    <w:rFonts w:ascii="Georgia" w:hAnsi="Georgia"/>
                                    <w:sz w:val="18"/>
                                    <w:szCs w:val="18"/>
                                  </w:rPr>
                                  <w:t>Sustainable Compliance Results Workgroup</w:t>
                                </w:r>
                              </w:hyperlink>
                              <w:r>
                                <w:rPr>
                                  <w:rFonts w:ascii="Georgia" w:hAnsi="Georgia"/>
                                  <w:color w:val="000000"/>
                                  <w:sz w:val="18"/>
                                  <w:szCs w:val="18"/>
                                </w:rPr>
                                <w:t xml:space="preserve">" to facilitate collaboration among the northeast states and with EPA Regions 1 and 2 on promoting the use of a variety of approaches to advancing, monitoring, and enforcing compliance with regulatory requirements and measuring results. The new group focuses on: </w:t>
                              </w:r>
                            </w:p>
                            <w:p w:rsidR="00B6466D" w:rsidRDefault="00B6466D">
                              <w:pPr>
                                <w:numPr>
                                  <w:ilvl w:val="0"/>
                                  <w:numId w:val="15"/>
                                </w:numPr>
                                <w:spacing w:before="100" w:beforeAutospacing="1" w:after="100" w:afterAutospacing="1"/>
                                <w:rPr>
                                  <w:rFonts w:ascii="Georgia" w:hAnsi="Georgia"/>
                                  <w:color w:val="000000"/>
                                  <w:sz w:val="18"/>
                                  <w:szCs w:val="18"/>
                                </w:rPr>
                              </w:pPr>
                              <w:r>
                                <w:rPr>
                                  <w:rFonts w:ascii="Georgia" w:hAnsi="Georgia"/>
                                  <w:color w:val="000000"/>
                                  <w:sz w:val="18"/>
                                  <w:szCs w:val="18"/>
                                </w:rPr>
                                <w:t>Sharing lessons learned and tools</w:t>
                              </w:r>
                            </w:p>
                            <w:p w:rsidR="00B6466D" w:rsidRDefault="00B6466D">
                              <w:pPr>
                                <w:numPr>
                                  <w:ilvl w:val="0"/>
                                  <w:numId w:val="15"/>
                                </w:numPr>
                                <w:spacing w:before="100" w:beforeAutospacing="1" w:after="100" w:afterAutospacing="1"/>
                                <w:rPr>
                                  <w:rFonts w:ascii="Georgia" w:hAnsi="Georgia"/>
                                  <w:color w:val="000000"/>
                                  <w:sz w:val="18"/>
                                  <w:szCs w:val="18"/>
                                </w:rPr>
                              </w:pPr>
                              <w:r>
                                <w:rPr>
                                  <w:rFonts w:ascii="Georgia" w:hAnsi="Georgia"/>
                                  <w:color w:val="000000"/>
                                  <w:sz w:val="18"/>
                                  <w:szCs w:val="18"/>
                                </w:rPr>
                                <w:t xml:space="preserve">Creating a common understanding of basic principles and concepts </w:t>
                              </w:r>
                            </w:p>
                            <w:p w:rsidR="00B6466D" w:rsidRDefault="00B6466D">
                              <w:pPr>
                                <w:numPr>
                                  <w:ilvl w:val="0"/>
                                  <w:numId w:val="15"/>
                                </w:numPr>
                                <w:spacing w:before="100" w:beforeAutospacing="1" w:after="100" w:afterAutospacing="1"/>
                                <w:rPr>
                                  <w:rFonts w:ascii="Georgia" w:hAnsi="Georgia"/>
                                  <w:color w:val="000000"/>
                                  <w:sz w:val="18"/>
                                  <w:szCs w:val="18"/>
                                </w:rPr>
                              </w:pPr>
                              <w:r>
                                <w:rPr>
                                  <w:rFonts w:ascii="Georgia" w:hAnsi="Georgia"/>
                                  <w:color w:val="000000"/>
                                  <w:sz w:val="18"/>
                                  <w:szCs w:val="18"/>
                                </w:rPr>
                                <w:t>Communicating success stories to build stakeholder support</w:t>
                              </w:r>
                            </w:p>
                            <w:p w:rsidR="00B6466D" w:rsidRDefault="00B6466D">
                              <w:pPr>
                                <w:numPr>
                                  <w:ilvl w:val="0"/>
                                  <w:numId w:val="15"/>
                                </w:numPr>
                                <w:spacing w:before="100" w:beforeAutospacing="1" w:after="100" w:afterAutospacing="1"/>
                                <w:rPr>
                                  <w:rFonts w:ascii="Georgia" w:hAnsi="Georgia"/>
                                  <w:color w:val="000000"/>
                                  <w:sz w:val="18"/>
                                  <w:szCs w:val="18"/>
                                </w:rPr>
                              </w:pPr>
                              <w:r>
                                <w:rPr>
                                  <w:rFonts w:ascii="Georgia" w:hAnsi="Georgia"/>
                                  <w:color w:val="000000"/>
                                  <w:sz w:val="18"/>
                                  <w:szCs w:val="18"/>
                                </w:rPr>
                                <w:t>Expanding support for various compliance monitoring and performance measurement approaches and strategies to promote their wider use and institutional acceptance</w:t>
                              </w:r>
                            </w:p>
                            <w:p w:rsidR="00B6466D" w:rsidRDefault="00B6466D">
                              <w:pPr>
                                <w:pStyle w:val="NormalWeb"/>
                                <w:spacing w:before="0" w:beforeAutospacing="0" w:after="0" w:afterAutospacing="0"/>
                                <w:rPr>
                                  <w:rFonts w:ascii="Georgia" w:hAnsi="Georgia"/>
                                  <w:color w:val="000000"/>
                                  <w:sz w:val="18"/>
                                  <w:szCs w:val="18"/>
                                </w:rPr>
                              </w:pPr>
                              <w:r>
                                <w:rPr>
                                  <w:rFonts w:ascii="Georgia" w:hAnsi="Georgia"/>
                                  <w:color w:val="000000"/>
                                  <w:sz w:val="18"/>
                                  <w:szCs w:val="18"/>
                                </w:rPr>
                                <w:t xml:space="preserve">Members of the Workgroup provided support to the national </w:t>
                              </w:r>
                              <w:hyperlink r:id="rId43" w:tgtFrame="_blank" w:history="1">
                                <w:r>
                                  <w:rPr>
                                    <w:rStyle w:val="Hyperlink"/>
                                    <w:rFonts w:ascii="Georgia" w:hAnsi="Georgia"/>
                                    <w:sz w:val="18"/>
                                    <w:szCs w:val="18"/>
                                  </w:rPr>
                                  <w:t>Environmental Council of the States (ECOS)</w:t>
                                </w:r>
                              </w:hyperlink>
                              <w:r>
                                <w:rPr>
                                  <w:rFonts w:ascii="Georgia" w:hAnsi="Georgia"/>
                                  <w:color w:val="000000"/>
                                  <w:sz w:val="18"/>
                                  <w:szCs w:val="18"/>
                                </w:rPr>
                                <w:t xml:space="preserve"> for a Resolution, "</w:t>
                              </w:r>
                              <w:hyperlink r:id="rId44" w:tgtFrame="_blank" w:history="1">
                                <w:r>
                                  <w:rPr>
                                    <w:rStyle w:val="Hyperlink"/>
                                    <w:rFonts w:ascii="Georgia" w:hAnsi="Georgia"/>
                                    <w:sz w:val="18"/>
                                    <w:szCs w:val="18"/>
                                  </w:rPr>
                                  <w:t>Next Generation Compliance Assurance and Measurement</w:t>
                                </w:r>
                              </w:hyperlink>
                              <w:r>
                                <w:rPr>
                                  <w:rFonts w:ascii="Georgia" w:hAnsi="Georgia"/>
                                  <w:color w:val="000000"/>
                                  <w:sz w:val="18"/>
                                  <w:szCs w:val="18"/>
                                </w:rPr>
                                <w:t>" that was adopted in April 2014. The Resolution commits EOCS to developing a subcommittee under their Compliance Committee that will focus on these topics.  </w:t>
                              </w: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rHeight w:val="15"/>
                            <w:tblCellSpacing w:w="0" w:type="dxa"/>
                            <w:jc w:val="center"/>
                          </w:trPr>
                          <w:tc>
                            <w:tcPr>
                              <w:tcW w:w="0" w:type="auto"/>
                              <w:tcMar>
                                <w:top w:w="75" w:type="dxa"/>
                                <w:left w:w="120" w:type="dxa"/>
                                <w:bottom w:w="75"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B6466D">
                                <w:trPr>
                                  <w:trHeight w:val="15"/>
                                  <w:tblCellSpacing w:w="0" w:type="dxa"/>
                                </w:trPr>
                                <w:tc>
                                  <w:tcPr>
                                    <w:tcW w:w="0" w:type="auto"/>
                                    <w:shd w:val="clear" w:color="auto" w:fill="29518E"/>
                                    <w:tcMar>
                                      <w:top w:w="0" w:type="dxa"/>
                                      <w:left w:w="0" w:type="dxa"/>
                                      <w:bottom w:w="15" w:type="dxa"/>
                                      <w:right w:w="0" w:type="dxa"/>
                                    </w:tcMar>
                                    <w:hideMark/>
                                  </w:tcPr>
                                  <w:p w:rsidR="00B6466D" w:rsidRDefault="00B6466D">
                                    <w:pPr>
                                      <w:spacing w:line="15" w:lineRule="atLeast"/>
                                      <w:jc w:val="center"/>
                                    </w:pPr>
                                    <w:r>
                                      <w:rPr>
                                        <w:noProof/>
                                      </w:rPr>
                                      <w:drawing>
                                        <wp:inline distT="0" distB="0" distL="0" distR="0">
                                          <wp:extent cx="44450" cy="6350"/>
                                          <wp:effectExtent l="0" t="0" r="0" b="0"/>
                                          <wp:docPr id="2" name="Picture 2"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constantcontact.com/letters/images/1101116784221/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B6466D" w:rsidRDefault="00B6466D">
                              <w:pP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B6466D">
                          <w:trPr>
                            <w:tblCellSpacing w:w="0" w:type="dxa"/>
                            <w:jc w:val="center"/>
                          </w:trPr>
                          <w:tc>
                            <w:tcPr>
                              <w:tcW w:w="0" w:type="auto"/>
                              <w:tcMar>
                                <w:top w:w="105" w:type="dxa"/>
                                <w:left w:w="120" w:type="dxa"/>
                                <w:bottom w:w="105" w:type="dxa"/>
                                <w:right w:w="120" w:type="dxa"/>
                              </w:tcMar>
                              <w:hideMark/>
                            </w:tcPr>
                            <w:p w:rsidR="00B6466D" w:rsidRDefault="00B6466D">
                              <w:pPr>
                                <w:jc w:val="center"/>
                                <w:rPr>
                                  <w:color w:val="000000"/>
                                  <w:sz w:val="22"/>
                                  <w:szCs w:val="22"/>
                                </w:rPr>
                              </w:pPr>
                              <w:r>
                                <w:rPr>
                                  <w:noProof/>
                                  <w:color w:val="0000FF"/>
                                  <w:sz w:val="22"/>
                                  <w:szCs w:val="22"/>
                                </w:rPr>
                                <w:drawing>
                                  <wp:inline distT="0" distB="0" distL="0" distR="0">
                                    <wp:extent cx="1524000" cy="260350"/>
                                    <wp:effectExtent l="0" t="0" r="0" b="6350"/>
                                    <wp:docPr id="1" name="Picture 1" descr="View our profile on LinkedIn">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ew our profile on LinkedI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0" cy="260350"/>
                                            </a:xfrm>
                                            <a:prstGeom prst="rect">
                                              <a:avLst/>
                                            </a:prstGeom>
                                            <a:noFill/>
                                            <a:ln>
                                              <a:noFill/>
                                            </a:ln>
                                          </pic:spPr>
                                        </pic:pic>
                                      </a:graphicData>
                                    </a:graphic>
                                  </wp:inline>
                                </w:drawing>
                              </w:r>
                            </w:p>
                          </w:tc>
                        </w:tr>
                      </w:tbl>
                      <w:p w:rsidR="00B6466D" w:rsidRDefault="00B6466D">
                        <w:pPr>
                          <w:jc w:val="center"/>
                          <w:rPr>
                            <w:sz w:val="20"/>
                            <w:szCs w:val="20"/>
                          </w:rPr>
                        </w:pPr>
                      </w:p>
                    </w:tc>
                  </w:tr>
                </w:tbl>
                <w:p w:rsidR="00B6466D" w:rsidRDefault="00B6466D">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5000" w:type="pct"/>
                        <w:vAlign w:val="center"/>
                        <w:hideMark/>
                      </w:tcPr>
                      <w:tbl>
                        <w:tblPr>
                          <w:tblW w:w="5000" w:type="pct"/>
                          <w:jc w:val="center"/>
                          <w:tblCellSpacing w:w="0" w:type="dxa"/>
                          <w:shd w:val="clear" w:color="auto" w:fill="29518E"/>
                          <w:tblCellMar>
                            <w:left w:w="0" w:type="dxa"/>
                            <w:right w:w="0" w:type="dxa"/>
                          </w:tblCellMar>
                          <w:tblLook w:val="04A0" w:firstRow="1" w:lastRow="0" w:firstColumn="1" w:lastColumn="0" w:noHBand="0" w:noVBand="1"/>
                        </w:tblPr>
                        <w:tblGrid>
                          <w:gridCol w:w="9000"/>
                        </w:tblGrid>
                        <w:tr w:rsidR="00B6466D">
                          <w:trPr>
                            <w:tblCellSpacing w:w="0" w:type="dxa"/>
                            <w:jc w:val="center"/>
                          </w:trPr>
                          <w:tc>
                            <w:tcPr>
                              <w:tcW w:w="0" w:type="auto"/>
                              <w:shd w:val="clear" w:color="auto" w:fill="29518E"/>
                              <w:tcMar>
                                <w:top w:w="75" w:type="dxa"/>
                                <w:left w:w="120" w:type="dxa"/>
                                <w:bottom w:w="75" w:type="dxa"/>
                                <w:right w:w="120" w:type="dxa"/>
                              </w:tcMar>
                              <w:hideMark/>
                            </w:tcPr>
                            <w:p w:rsidR="00B6466D" w:rsidRDefault="00B6466D">
                              <w:pPr>
                                <w:rPr>
                                  <w:rFonts w:ascii="Tahoma" w:hAnsi="Tahoma" w:cs="Tahoma"/>
                                  <w:color w:val="FFFFFF"/>
                                  <w:sz w:val="18"/>
                                  <w:szCs w:val="18"/>
                                </w:rPr>
                              </w:pPr>
                              <w:r>
                                <w:rPr>
                                  <w:rFonts w:ascii="Tahoma" w:hAnsi="Tahoma" w:cs="Tahoma"/>
                                  <w:i/>
                                  <w:iCs/>
                                  <w:color w:val="FFFFFF"/>
                                  <w:sz w:val="18"/>
                                  <w:szCs w:val="18"/>
                                </w:rPr>
                                <w:t>To develop, lead, and sustain an effective partnership of states that helps achieve a clean, healthy, and sustainable environment by exploring, developing, promoting, and implementing environmentally sound solutions for:</w:t>
                              </w:r>
                            </w:p>
                            <w:p w:rsidR="00B6466D" w:rsidRDefault="00B6466D">
                              <w:pPr>
                                <w:numPr>
                                  <w:ilvl w:val="0"/>
                                  <w:numId w:val="16"/>
                                </w:numPr>
                                <w:spacing w:after="100" w:afterAutospacing="1"/>
                                <w:rPr>
                                  <w:rFonts w:ascii="Tahoma" w:hAnsi="Tahoma" w:cs="Tahoma"/>
                                  <w:color w:val="FFFFFF"/>
                                  <w:sz w:val="18"/>
                                  <w:szCs w:val="18"/>
                                </w:rPr>
                              </w:pPr>
                              <w:r>
                                <w:rPr>
                                  <w:rFonts w:ascii="Tahoma" w:hAnsi="Tahoma" w:cs="Tahoma"/>
                                  <w:i/>
                                  <w:iCs/>
                                  <w:color w:val="FFFFFF"/>
                                  <w:sz w:val="18"/>
                                  <w:szCs w:val="18"/>
                                </w:rPr>
                                <w:t>Reducing materials use and preventing pollution and waste;</w:t>
                              </w:r>
                            </w:p>
                            <w:p w:rsidR="00B6466D" w:rsidRDefault="00B6466D">
                              <w:pPr>
                                <w:numPr>
                                  <w:ilvl w:val="0"/>
                                  <w:numId w:val="16"/>
                                </w:numPr>
                                <w:spacing w:before="100" w:beforeAutospacing="1" w:after="100" w:afterAutospacing="1"/>
                                <w:rPr>
                                  <w:rFonts w:ascii="Tahoma" w:hAnsi="Tahoma" w:cs="Tahoma"/>
                                  <w:color w:val="FFFFFF"/>
                                  <w:sz w:val="18"/>
                                  <w:szCs w:val="18"/>
                                </w:rPr>
                              </w:pPr>
                              <w:r>
                                <w:rPr>
                                  <w:rFonts w:ascii="Tahoma" w:hAnsi="Tahoma" w:cs="Tahoma"/>
                                  <w:i/>
                                  <w:iCs/>
                                  <w:color w:val="FFFFFF"/>
                                  <w:sz w:val="18"/>
                                  <w:szCs w:val="18"/>
                                </w:rPr>
                                <w:t>Properly reusing and recycling discarded materials that have value;</w:t>
                              </w:r>
                            </w:p>
                            <w:p w:rsidR="00B6466D" w:rsidRDefault="00B6466D">
                              <w:pPr>
                                <w:numPr>
                                  <w:ilvl w:val="0"/>
                                  <w:numId w:val="16"/>
                                </w:numPr>
                                <w:spacing w:before="100" w:beforeAutospacing="1" w:after="100" w:afterAutospacing="1"/>
                                <w:rPr>
                                  <w:rFonts w:ascii="Tahoma" w:hAnsi="Tahoma" w:cs="Tahoma"/>
                                  <w:color w:val="FFFFFF"/>
                                  <w:sz w:val="18"/>
                                  <w:szCs w:val="18"/>
                                </w:rPr>
                              </w:pPr>
                              <w:r>
                                <w:rPr>
                                  <w:rFonts w:ascii="Tahoma" w:hAnsi="Tahoma" w:cs="Tahoma"/>
                                  <w:i/>
                                  <w:iCs/>
                                  <w:color w:val="FFFFFF"/>
                                  <w:sz w:val="18"/>
                                  <w:szCs w:val="18"/>
                                </w:rPr>
                                <w:t>Safely managing solid and hazardous wastes; and</w:t>
                              </w:r>
                            </w:p>
                            <w:p w:rsidR="00B6466D" w:rsidRDefault="00B6466D">
                              <w:pPr>
                                <w:numPr>
                                  <w:ilvl w:val="0"/>
                                  <w:numId w:val="16"/>
                                </w:numPr>
                                <w:spacing w:after="100" w:afterAutospacing="1"/>
                                <w:rPr>
                                  <w:rFonts w:ascii="Tahoma" w:hAnsi="Tahoma" w:cs="Tahoma"/>
                                  <w:color w:val="FFFFFF"/>
                                  <w:sz w:val="18"/>
                                  <w:szCs w:val="18"/>
                                </w:rPr>
                              </w:pPr>
                              <w:r>
                                <w:rPr>
                                  <w:rFonts w:ascii="Tahoma" w:hAnsi="Tahoma" w:cs="Tahoma"/>
                                  <w:i/>
                                  <w:iCs/>
                                  <w:color w:val="FFFFFF"/>
                                  <w:sz w:val="18"/>
                                  <w:szCs w:val="18"/>
                                </w:rPr>
                                <w:lastRenderedPageBreak/>
                                <w:t>Remediating contaminated sites.</w:t>
                              </w:r>
                            </w:p>
                            <w:p w:rsidR="00B6466D" w:rsidRDefault="00B6466D">
                              <w:pPr>
                                <w:spacing w:after="240"/>
                                <w:jc w:val="center"/>
                                <w:rPr>
                                  <w:rFonts w:ascii="Tahoma" w:hAnsi="Tahoma" w:cs="Tahoma"/>
                                  <w:color w:val="FFFFFF"/>
                                  <w:sz w:val="18"/>
                                  <w:szCs w:val="18"/>
                                </w:rPr>
                              </w:pPr>
                              <w:r>
                                <w:rPr>
                                  <w:rStyle w:val="Strong"/>
                                  <w:rFonts w:ascii="Tahoma" w:hAnsi="Tahoma" w:cs="Tahoma"/>
                                  <w:color w:val="FFFFFF"/>
                                  <w:sz w:val="18"/>
                                  <w:szCs w:val="18"/>
                                </w:rPr>
                                <w:t> </w:t>
                              </w:r>
                              <w:hyperlink r:id="rId47" w:tgtFrame="_blank" w:history="1">
                                <w:r>
                                  <w:rPr>
                                    <w:rStyle w:val="Hyperlink"/>
                                    <w:rFonts w:ascii="Tahoma" w:hAnsi="Tahoma" w:cs="Tahoma"/>
                                    <w:b/>
                                    <w:bCs/>
                                    <w:color w:val="FFFFFF"/>
                                    <w:sz w:val="18"/>
                                    <w:szCs w:val="18"/>
                                  </w:rPr>
                                  <w:t>www.newmoa.org</w:t>
                                </w:r>
                              </w:hyperlink>
                            </w:p>
                            <w:p w:rsidR="00B6466D" w:rsidRDefault="00B6466D">
                              <w:pPr>
                                <w:jc w:val="center"/>
                                <w:rPr>
                                  <w:rFonts w:ascii="Tahoma" w:hAnsi="Tahoma" w:cs="Tahoma"/>
                                  <w:color w:val="FFFFFF"/>
                                  <w:sz w:val="18"/>
                                  <w:szCs w:val="18"/>
                                </w:rPr>
                              </w:pPr>
                              <w:r>
                                <w:rPr>
                                  <w:rStyle w:val="Strong"/>
                                  <w:rFonts w:ascii="Tahoma" w:hAnsi="Tahoma" w:cs="Tahoma"/>
                                  <w:color w:val="FFFFFF"/>
                                  <w:sz w:val="18"/>
                                  <w:szCs w:val="18"/>
                                </w:rPr>
                                <w:t>NEWMOA is an equal opportunity employer and provider</w:t>
                              </w:r>
                            </w:p>
                          </w:tc>
                        </w:tr>
                      </w:tbl>
                      <w:p w:rsidR="00B6466D" w:rsidRDefault="00B6466D">
                        <w:pPr>
                          <w:jc w:val="center"/>
                          <w:rPr>
                            <w:sz w:val="20"/>
                            <w:szCs w:val="20"/>
                          </w:rPr>
                        </w:pPr>
                      </w:p>
                    </w:tc>
                  </w:tr>
                </w:tbl>
                <w:p w:rsidR="00B6466D" w:rsidRDefault="00B6466D">
                  <w:pPr>
                    <w:jc w:val="center"/>
                    <w:rPr>
                      <w:sz w:val="20"/>
                      <w:szCs w:val="20"/>
                    </w:rPr>
                  </w:pPr>
                </w:p>
              </w:tc>
            </w:tr>
          </w:tbl>
          <w:p w:rsidR="00B6466D" w:rsidRDefault="00B6466D">
            <w:pPr>
              <w:jc w:val="center"/>
              <w:rPr>
                <w:sz w:val="20"/>
                <w:szCs w:val="20"/>
              </w:rPr>
            </w:pPr>
          </w:p>
        </w:tc>
      </w:tr>
    </w:tbl>
    <w:p w:rsidR="00BC34A5" w:rsidRDefault="00BC34A5"/>
    <w:sectPr w:rsidR="00BC34A5" w:rsidSect="00B6466D">
      <w:pgSz w:w="12240" w:h="15840"/>
      <w:pgMar w:top="475"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1E7"/>
    <w:multiLevelType w:val="multilevel"/>
    <w:tmpl w:val="C3E26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7E08B5"/>
    <w:multiLevelType w:val="multilevel"/>
    <w:tmpl w:val="6C38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550104"/>
    <w:multiLevelType w:val="multilevel"/>
    <w:tmpl w:val="64D2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D0347E"/>
    <w:multiLevelType w:val="multilevel"/>
    <w:tmpl w:val="E166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14409F"/>
    <w:multiLevelType w:val="multilevel"/>
    <w:tmpl w:val="A1EE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943D21"/>
    <w:multiLevelType w:val="multilevel"/>
    <w:tmpl w:val="A9D0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9926DC"/>
    <w:multiLevelType w:val="multilevel"/>
    <w:tmpl w:val="DD90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4E34934"/>
    <w:multiLevelType w:val="multilevel"/>
    <w:tmpl w:val="36A2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D5699"/>
    <w:multiLevelType w:val="multilevel"/>
    <w:tmpl w:val="E3582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2034E4"/>
    <w:multiLevelType w:val="multilevel"/>
    <w:tmpl w:val="AB1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9A427AB"/>
    <w:multiLevelType w:val="multilevel"/>
    <w:tmpl w:val="F82A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DB3D93"/>
    <w:multiLevelType w:val="multilevel"/>
    <w:tmpl w:val="EBB04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9A6377"/>
    <w:multiLevelType w:val="multilevel"/>
    <w:tmpl w:val="3EE08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EEF6730"/>
    <w:multiLevelType w:val="multilevel"/>
    <w:tmpl w:val="E2824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2604BF2"/>
    <w:multiLevelType w:val="multilevel"/>
    <w:tmpl w:val="96DE5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663151D"/>
    <w:multiLevelType w:val="multilevel"/>
    <w:tmpl w:val="8242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1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6D"/>
    <w:rsid w:val="00135478"/>
    <w:rsid w:val="001376A6"/>
    <w:rsid w:val="00212AE1"/>
    <w:rsid w:val="004204F3"/>
    <w:rsid w:val="00437F78"/>
    <w:rsid w:val="005120AC"/>
    <w:rsid w:val="005207B2"/>
    <w:rsid w:val="00521D74"/>
    <w:rsid w:val="00595CCF"/>
    <w:rsid w:val="006E60F5"/>
    <w:rsid w:val="00873A30"/>
    <w:rsid w:val="008A0EFC"/>
    <w:rsid w:val="00AE004C"/>
    <w:rsid w:val="00B6466D"/>
    <w:rsid w:val="00BC34A5"/>
    <w:rsid w:val="00C00C8C"/>
    <w:rsid w:val="00C03C62"/>
    <w:rsid w:val="00C42208"/>
    <w:rsid w:val="00C51E58"/>
    <w:rsid w:val="00FA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6F47E-AB51-433C-9ED2-5291231B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466D"/>
    <w:rPr>
      <w:color w:val="0000FF"/>
      <w:u w:val="single"/>
    </w:rPr>
  </w:style>
  <w:style w:type="paragraph" w:styleId="NormalWeb">
    <w:name w:val="Normal (Web)"/>
    <w:basedOn w:val="Normal"/>
    <w:uiPriority w:val="99"/>
    <w:semiHidden/>
    <w:unhideWhenUsed/>
    <w:rsid w:val="00B6466D"/>
    <w:pPr>
      <w:spacing w:before="100" w:beforeAutospacing="1" w:after="100" w:afterAutospacing="1"/>
    </w:pPr>
    <w:rPr>
      <w:rFonts w:eastAsiaTheme="minorHAnsi"/>
    </w:rPr>
  </w:style>
  <w:style w:type="character" w:styleId="Strong">
    <w:name w:val="Strong"/>
    <w:basedOn w:val="DefaultParagraphFont"/>
    <w:uiPriority w:val="22"/>
    <w:qFormat/>
    <w:rsid w:val="00B6466D"/>
    <w:rPr>
      <w:b/>
      <w:bCs/>
    </w:rPr>
  </w:style>
  <w:style w:type="character" w:styleId="Emphasis">
    <w:name w:val="Emphasis"/>
    <w:basedOn w:val="DefaultParagraphFont"/>
    <w:uiPriority w:val="20"/>
    <w:qFormat/>
    <w:rsid w:val="00B6466D"/>
    <w:rPr>
      <w:i/>
      <w:iCs/>
    </w:rPr>
  </w:style>
  <w:style w:type="character" w:styleId="FollowedHyperlink">
    <w:name w:val="FollowedHyperlink"/>
    <w:basedOn w:val="DefaultParagraphFont"/>
    <w:uiPriority w:val="99"/>
    <w:semiHidden/>
    <w:unhideWhenUsed/>
    <w:rsid w:val="00B6466D"/>
    <w:rPr>
      <w:color w:val="954F72" w:themeColor="followedHyperlink"/>
      <w:u w:val="single"/>
    </w:rPr>
  </w:style>
  <w:style w:type="paragraph" w:styleId="BalloonText">
    <w:name w:val="Balloon Text"/>
    <w:basedOn w:val="Normal"/>
    <w:link w:val="BalloonTextChar"/>
    <w:uiPriority w:val="99"/>
    <w:semiHidden/>
    <w:unhideWhenUsed/>
    <w:rsid w:val="00B64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6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ih.constantcontact.com/fs122/1111234994262/img/74.jpg" TargetMode="External"/><Relationship Id="rId18" Type="http://schemas.openxmlformats.org/officeDocument/2006/relationships/image" Target="media/image3.jpeg"/><Relationship Id="rId26" Type="http://schemas.openxmlformats.org/officeDocument/2006/relationships/hyperlink" Target="http://r20.rs6.net/tn.jsp?t=4clj75qab.0.tnlwcbrab.wcyim6kab.0&amp;r=3&amp;p=http%3A%2F%2Fwww.brown.edu%2FResearch%2FSRP%2F%3Futm_source%3Dnews%2540NEWMOA%2BIssue%2B%25233%252C%2BSummer%2B2014%26utm_campaign%3DThird%2BIssue%2Bof%2Bnews%2540NEWMOA%26utm_medium%3Demail" TargetMode="External"/><Relationship Id="rId39" Type="http://schemas.openxmlformats.org/officeDocument/2006/relationships/hyperlink" Target="http://r20.rs6.net/tn.jsp?t=4clj75qab.0.5nlwcbrab.wcyim6kab.0&amp;r=3&amp;p=https%3A%2F%2Fimerc.newmoa.org%2FPublic%2FEnSuite%2FShared%2FPages%2FMain%2FLogin.aspx%3Futm_source%3Dnews%2540NEWMOA%2BIssue%2B%25233%252C%2BSummer%2B2014%26utm_campaign%3DThird%2BIssue%2Bof%2Bnews%2540NEWMOA%26utm_medium%3Demail" TargetMode="External"/><Relationship Id="rId21" Type="http://schemas.openxmlformats.org/officeDocument/2006/relationships/hyperlink" Target="http://r20.rs6.net/tn.jsp?t=4clj75qab.0.snlwcbrab.wcyim6kab.0&amp;r=3&amp;p=http%3A%2F%2Fwww.greenbiz.com%2Fblog%2F2014%2F06%2F25%2Fready-chemical-alternatives-assessment-ic2-can-help%3Futm_source%3Dnews%2540NEWMOA%2BIssue%2B%25233%252C%2BSummer%2B2014%26utm_campaign%3DThird%2BIssue%2Bof%2Bnews%2540NEWMOA%26utm_medium%3Demail" TargetMode="External"/><Relationship Id="rId34" Type="http://schemas.openxmlformats.org/officeDocument/2006/relationships/hyperlink" Target="http://r20.rs6.net/tn.jsp?t=4clj75qab.0.9nlwcbrab.wcyim6kab.0&amp;r=3&amp;p=http%3A%2F%2Fwww.greenscreenchemicals.org%2F%3Futm_source%3Dnews%2540NEWMOA%2BIssue%2B%25233%252C%2BSummer%2B2014%26utm_campaign%3DThird%2BIssue%2Bof%2Bnews%2540NEWMOA%26utm_medium%3Demail" TargetMode="External"/><Relationship Id="rId42" Type="http://schemas.openxmlformats.org/officeDocument/2006/relationships/hyperlink" Target="http://r20.rs6.net/tn.jsp?t=4clj75qab.0.bolwcbrab.wcyim6kab.0&amp;r=3&amp;p=http%3A%2F%2Fwww.newmoa.org%2Fabout%2Fworkgroups.cfm%3Futm_source%3Dnews%2540NEWMOA%2BIssue%2B%25233%252C%2BSummer%2B2014%26utm_campaign%3DThird%2BIssue%2Bof%2Bnews%2540NEWMOA%26utm_medium%3Demail" TargetMode="External"/><Relationship Id="rId47" Type="http://schemas.openxmlformats.org/officeDocument/2006/relationships/hyperlink" Target="http://r20.rs6.net/tn.jsp?t=4clj75qab.0.mnlwcbrab.wcyim6kab.0&amp;r=3&amp;p=http%3A%2F%2Fwww.newmoa.org%2F%3Futm_source%3Dnews%2540NEWMOA%2BIssue%2B%25233%252C%2BSummer%2B2014%26utm_campaign%3DThird%2BIssue%2Bof%2Bnews%2540NEWMOA%26utm_medium%3Demail"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r20.rs6.net/tn.jsp?t=4clj75qab.0.qnlwcbrab.wcyim6kab.0&amp;r=3&amp;p=http%3A%2F%2Fwww.epa.gov%2Fregion1%2Fra%2Fema%2F%3Futm_source%3Dnews%2540NEWMOA%2BIssue%2B%25233%252C%2BSummer%2B2014%26utm_campaign%3DThird%2BIssue%2Bof%2Bnews%2540NEWMOA%26utm_medium%3Demail" TargetMode="External"/><Relationship Id="rId29" Type="http://schemas.openxmlformats.org/officeDocument/2006/relationships/hyperlink" Target="http://r20.rs6.net/tn.jsp?t=4clj75qab.0.wnlwcbrab.wcyim6kab.0&amp;r=3&amp;p=http%3A%2F%2Fwww.newmoa.org%2Fsolidwaste%2Fprojects%2Fsmart%2F%3Futm_source%3Dnews%2540NEWMOA%2BIssue%2B%25233%252C%2BSummer%2B2014%26utm_campaign%3DThird%2BIssue%2Bof%2Bnews%2540NEWMOA%26utm_medium%3Demail" TargetMode="External"/><Relationship Id="rId11" Type="http://schemas.openxmlformats.org/officeDocument/2006/relationships/hyperlink" Target="http://r20.rs6.net/tn.jsp?t=4clj75qab.0.nnlwcbrab.wcyim6kab.0&amp;r=3&amp;p=http%3A%2F%2Fwww.newmoa.org%2Fabout%2Fboard.cfm%3Futm_source%3Dnews%2540NEWMOA%2BIssue%2B%25233%252C%2BSummer%2B2014%26utm_campaign%3DThird%2BIssue%2Bof%2Bnews%2540NEWMOA%26utm_medium%3Demail" TargetMode="External"/><Relationship Id="rId24" Type="http://schemas.openxmlformats.org/officeDocument/2006/relationships/hyperlink" Target="http://r20.rs6.net/tn.jsp?t=4clj75qab.0.unlwcbrab.wcyim6kab.0&amp;r=3&amp;p=http%3A%2F%2Fwww.newmoa.org%2Fevents%2Fevent.cfm%3Fm%3D118%26utm_source%3Dnews%2540NEWMOA%2BIssue%2B%25233%252C%2BSummer%2B2014%26utm_campaign%3DThird%2BIssue%2Bof%2Bnews%2540NEWMOA%26utm_medium%3Demail" TargetMode="External"/><Relationship Id="rId32" Type="http://schemas.openxmlformats.org/officeDocument/2006/relationships/image" Target="media/image6.jpeg"/><Relationship Id="rId37" Type="http://schemas.openxmlformats.org/officeDocument/2006/relationships/image" Target="media/image7.jpeg"/><Relationship Id="rId40" Type="http://schemas.openxmlformats.org/officeDocument/2006/relationships/hyperlink" Target="http://r20.rs6.net/tn.jsp?t=4clj75qab.0.4nlwcbrab.wcyim6kab.0&amp;r=3&amp;p=http%3A%2F%2Fwww.newmoa.org%2Fevents%2Fevent.cfm%3Fm%3D120%26utm_source%3Dnews%2540NEWMOA%2BIssue%2B%25233%252C%2BSummer%2B2014%26utm_campaign%3DThird%2BIssue%2Bof%2Bnews%2540NEWMOA%26utm_medium%3Demail" TargetMode="External"/><Relationship Id="rId45" Type="http://schemas.openxmlformats.org/officeDocument/2006/relationships/hyperlink" Target="http://r20.rs6.net/tn.jsp?t=4clj75qab.0.vwvwnblab.wcyim6kab.0&amp;r=3&amp;p=http%3A%2F%2Fwww.linkedin.com%2Fcompany%2Fnewmoa" TargetMode="External"/><Relationship Id="rId5" Type="http://schemas.openxmlformats.org/officeDocument/2006/relationships/image" Target="media/image1.gif"/><Relationship Id="rId15" Type="http://schemas.openxmlformats.org/officeDocument/2006/relationships/hyperlink" Target="http://r20.rs6.net/tn.jsp?t=4clj75qab.0.pnlwcbrab.wcyim6kab.0&amp;r=3&amp;p=http%3A%2F%2Fwww.nescaum.org%2F%3Futm_source%3Dnews%2540NEWMOA%2BIssue%2B%25233%252C%2BSummer%2B2014%26utm_campaign%3DThird%2BIssue%2Bof%2Bnews%2540NEWMOA%26utm_medium%3Demail" TargetMode="External"/><Relationship Id="rId23" Type="http://schemas.openxmlformats.org/officeDocument/2006/relationships/hyperlink" Target="http://r20.rs6.net/tn.jsp?t=4clj75qab.0.tnlwcbrab.wcyim6kab.0&amp;r=3&amp;p=http%3A%2F%2Fwww.brown.edu%2FResearch%2FSRP%2F%3Futm_source%3Dnews%2540NEWMOA%2BIssue%2B%25233%252C%2BSummer%2B2014%26utm_campaign%3DThird%2BIssue%2Bof%2Bnews%2540NEWMOA%26utm_medium%3Demail" TargetMode="External"/><Relationship Id="rId28" Type="http://schemas.openxmlformats.org/officeDocument/2006/relationships/hyperlink" Target="mailto:jgriffith@newmoa.org" TargetMode="External"/><Relationship Id="rId36" Type="http://schemas.openxmlformats.org/officeDocument/2006/relationships/hyperlink" Target="http://r20.rs6.net/tn.jsp?t=4clj75qab.0.7nlwcbrab.wcyim6kab.0&amp;r=3&amp;p=http%3A%2F%2Fwww.cleanproduction.org%2F%3Futm_source%3Dnews%2540NEWMOA%2BIssue%2B%25233%252C%2BSummer%2B2014%26utm_campaign%3DThird%2BIssue%2Bof%2Bnews%2540NEWMOA%26utm_medium%3Demail" TargetMode="External"/><Relationship Id="rId49" Type="http://schemas.openxmlformats.org/officeDocument/2006/relationships/theme" Target="theme/theme1.xml"/><Relationship Id="rId10" Type="http://schemas.openxmlformats.org/officeDocument/2006/relationships/hyperlink" Target="mailto:lmakina@newmoa.org" TargetMode="External"/><Relationship Id="rId19" Type="http://schemas.openxmlformats.org/officeDocument/2006/relationships/image" Target="media/image4.jpeg"/><Relationship Id="rId31" Type="http://schemas.openxmlformats.org/officeDocument/2006/relationships/hyperlink" Target="http://r20.rs6.net/tn.jsp?t=4clj75qab.0.ynlwcbrab.wcyim6kab.0&amp;r=3&amp;p=http%3A%2F%2Fwww.newmoa.org%2Fevents%2Fevent.cfm%3Fm%3D133%26utm_source%3Dnews%2540NEWMOA%2BIssue%2B%25233%252C%2BSummer%2B2014%26utm_campaign%3DThird%2BIssue%2Bof%2Bnews%2540NEWMOA%26utm_medium%3Demail" TargetMode="External"/><Relationship Id="rId44" Type="http://schemas.openxmlformats.org/officeDocument/2006/relationships/hyperlink" Target="http://r20.rs6.net/tn.jsp?t=4clj75qab.0.dolwcbrab.wcyim6kab.0&amp;r=3&amp;p=http%3A%2F%2Fwww.ecos.org%2Fsection%2Fpolicy%2Fresolution%3Futm_source%3Dnews%2540NEWMOA%2BIssue%2B%25233%252C%2BSummer%2B2014%26utm_campaign%3DThird%2BIssue%2Bof%2Bnews%2540NEWMOA%26utm_medium%3Demail" TargetMode="External"/><Relationship Id="rId4" Type="http://schemas.openxmlformats.org/officeDocument/2006/relationships/webSettings" Target="webSettings.xml"/><Relationship Id="rId9" Type="http://schemas.openxmlformats.org/officeDocument/2006/relationships/hyperlink" Target="mailto:lmakina@newmoa.org" TargetMode="External"/><Relationship Id="rId14" Type="http://schemas.openxmlformats.org/officeDocument/2006/relationships/hyperlink" Target="http://r20.rs6.net/tn.jsp?t=4clj75qab.0.onlwcbrab.wcyim6kab.0&amp;r=3&amp;p=http%3A%2F%2Fwww.neiwpcc.org%2F%3Futm_source%3Dnews%2540NEWMOA%2BIssue%2B%25233%252C%2BSummer%2B2014%26utm_campaign%3DThird%2BIssue%2Bof%2Bnews%2540NEWMOA%26utm_medium%3Demail" TargetMode="External"/><Relationship Id="rId22" Type="http://schemas.openxmlformats.org/officeDocument/2006/relationships/image" Target="http://ih.constantcontact.com/fs122/1111234994262/img/80.png" TargetMode="External"/><Relationship Id="rId27" Type="http://schemas.openxmlformats.org/officeDocument/2006/relationships/hyperlink" Target="http://r20.rs6.net/tn.jsp?t=4clj75qab.0.vnlwcbrab.wcyim6kab.0&amp;r=3&amp;p=http%3A%2F%2Fwww.newmoa.org%2Fevents%2Fevent.cfm%3Fm%3D124%26utm_source%3Dnews%2540NEWMOA%2BIssue%2B%25233%252C%2BSummer%2B2014%26utm_campaign%3DThird%2BIssue%2Bof%2Bnews%2540NEWMOA%26utm_medium%3Demail" TargetMode="External"/><Relationship Id="rId30" Type="http://schemas.openxmlformats.org/officeDocument/2006/relationships/hyperlink" Target="http://r20.rs6.net/tn.jsp?t=4clj75qab.0.xnlwcbrab.wcyim6kab.0&amp;r=3&amp;p=http%3A%2F%2Fwww.newmoa.org%2Fsolidwaste%2Fprojects%2Fsmart%2FNEK_Brochure_11x17.pdf%3Futm_source%3Dnews%2540NEWMOA%2BIssue%2B%25233%252C%2BSummer%2B2014%26utm_campaign%3DThird%2BIssue%2Bof%2Bnews%2540NEWMOA%26utm_medium%3Demail" TargetMode="External"/><Relationship Id="rId35" Type="http://schemas.openxmlformats.org/officeDocument/2006/relationships/hyperlink" Target="http://r20.rs6.net/tn.jsp?t=4clj75qab.0.8nlwcbrab.wcyim6kab.0&amp;r=3&amp;p=http%3A%2F%2Fwww.newmoa.org%2Fprevention%2Fic2%2FIC2_AA_Guide-Version_1.pdf%3Futm_source%3Dnews%2540NEWMOA%2BIssue%2B%25233%252C%2BSummer%2B2014%26utm_campaign%3DThird%2BIssue%2Bof%2Bnews%2540NEWMOA%26utm_medium%3Demail" TargetMode="External"/><Relationship Id="rId43" Type="http://schemas.openxmlformats.org/officeDocument/2006/relationships/hyperlink" Target="http://r20.rs6.net/tn.jsp?t=4clj75qab.0.colwcbrab.wcyim6kab.0&amp;r=3&amp;p=http%3A%2F%2Fwww.ecos.org%2F%3Futm_source%3Dnews%2540NEWMOA%2BIssue%2B%25233%252C%2BSummer%2B2014%26utm_campaign%3DThird%2BIssue%2Bof%2Bnews%2540NEWMOA%26utm_medium%3Demail" TargetMode="External"/><Relationship Id="rId48" Type="http://schemas.openxmlformats.org/officeDocument/2006/relationships/fontTable" Target="fontTable.xml"/><Relationship Id="rId8" Type="http://schemas.openxmlformats.org/officeDocument/2006/relationships/hyperlink" Target="http://www.newmoa.org" TargetMode="External"/><Relationship Id="rId3" Type="http://schemas.openxmlformats.org/officeDocument/2006/relationships/settings" Target="settings.xml"/><Relationship Id="rId12" Type="http://schemas.openxmlformats.org/officeDocument/2006/relationships/image" Target="http://ih.constantcontact.com/fs122/1111234994262/img/75.jpg" TargetMode="External"/><Relationship Id="rId17" Type="http://schemas.openxmlformats.org/officeDocument/2006/relationships/hyperlink" Target="http://r20.rs6.net/tn.jsp?t=4clj75qab.0.rnlwcbrab.wcyim6kab.0&amp;r=3&amp;p=http%3A%2F%2Fwww.newmoa.org%2Fpublications%2Fletters%2FManagement_of_Evaporation_Units_2014.pdf%3Futm_source%3Dnews%2540NEWMOA%2BIssue%2B%25233%252C%2BSummer%2B2014%26utm_campaign%3DThird%2BIssue%2Bof%2Bnews%2540NEWMOA%26utm_medium%3Demail" TargetMode="External"/><Relationship Id="rId25" Type="http://schemas.openxmlformats.org/officeDocument/2006/relationships/image" Target="http://ih.constantcontact.com/fs122/1111234994262/img/81.png" TargetMode="External"/><Relationship Id="rId33" Type="http://schemas.openxmlformats.org/officeDocument/2006/relationships/hyperlink" Target="http://r20.rs6.net/tn.jsp?t=4clj75qab.0.znlwcbrab.wcyim6kab.0&amp;r=3&amp;p=http%3A%2F%2Ftheic2.org%2F%3Futm_source%3Dnews%2540NEWMOA%2BIssue%2B%25233%252C%2BSummer%2B2014%26utm_campaign%3DThird%2BIssue%2Bof%2Bnews%2540NEWMOA%26utm_medium%3Demail" TargetMode="External"/><Relationship Id="rId38" Type="http://schemas.openxmlformats.org/officeDocument/2006/relationships/hyperlink" Target="http://r20.rs6.net/tn.jsp?t=4clj75qab.0.6nlwcbrab.wcyim6kab.0&amp;r=3&amp;p=http%3A%2F%2Fwww.newmoa.org%2Fprevention%2Fmercury%2Fimerc%2Fabout.cfm%3Futm_source%3Dnews%2540NEWMOA%2BIssue%2B%25233%252C%2BSummer%2B2014%26utm_campaign%3DThird%2BIssue%2Bof%2Bnews%2540NEWMOA%26utm_medium%3Demail" TargetMode="External"/><Relationship Id="rId46" Type="http://schemas.openxmlformats.org/officeDocument/2006/relationships/image" Target="media/image8.png"/><Relationship Id="rId20" Type="http://schemas.openxmlformats.org/officeDocument/2006/relationships/image" Target="media/image5.jpeg"/><Relationship Id="rId41" Type="http://schemas.openxmlformats.org/officeDocument/2006/relationships/hyperlink" Target="http://r20.rs6.net/tn.jsp?t=4clj75qab.0.aolwcbrab.wcyim6kab.0&amp;r=3&amp;p=http%3A%2F%2Fwww.newmoa.org%2Fabout%2Flean%2Findex.cfm%3Futm_source%3Dnews%2540NEWMOA%2BIssue%2B%25233%252C%2BSummer%2B2014%26utm_campaign%3DThird%2BIssue%2Bof%2Bnews%2540NEWMOA%26utm_medium%3Demail" TargetMode="External"/><Relationship Id="rId1" Type="http://schemas.openxmlformats.org/officeDocument/2006/relationships/numbering" Target="numbering.xml"/><Relationship Id="rId6" Type="http://schemas.openxmlformats.org/officeDocument/2006/relationships/hyperlink" Target="http://r20.rs6.net/tn.jsp?t=4clj75qab.0.mnlwcbrab.wcyim6kab.0&amp;r=3&amp;p=http%3A%2F%2Fwww.newmoa.org%2F%3Futm_source%3Dnews%2540NEWMOA%2BIssue%2B%25233%252C%2BSummer%2B2014%26utm_campaign%3DThird%2BIssue%2Bof%2Bnews%2540NEWMOA%26utm_medium%3D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Sadowski</dc:creator>
  <cp:keywords/>
  <dc:description/>
  <cp:lastModifiedBy>Lauren Sadowski</cp:lastModifiedBy>
  <cp:revision>1</cp:revision>
  <cp:lastPrinted>2014-07-07T15:30:00Z</cp:lastPrinted>
  <dcterms:created xsi:type="dcterms:W3CDTF">2014-07-07T15:26:00Z</dcterms:created>
  <dcterms:modified xsi:type="dcterms:W3CDTF">2014-07-07T15:37:00Z</dcterms:modified>
</cp:coreProperties>
</file>